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D4" w:rsidRPr="00180776" w:rsidRDefault="006501D4" w:rsidP="006501D4">
      <w:pPr>
        <w:widowControl w:val="0"/>
        <w:spacing w:after="0" w:line="240" w:lineRule="auto"/>
        <w:jc w:val="both"/>
        <w:rPr>
          <w:rFonts w:ascii="Times New Roman" w:eastAsia="Times New Roman" w:hAnsi="Times New Roman" w:cs="Times New Roman"/>
          <w:snapToGrid w:val="0"/>
          <w:sz w:val="24"/>
          <w:szCs w:val="20"/>
        </w:rPr>
      </w:pPr>
      <w:r w:rsidRPr="00180776">
        <w:rPr>
          <w:rFonts w:ascii="Times New Roman" w:eastAsia="Times New Roman" w:hAnsi="Times New Roman" w:cs="Times New Roman"/>
          <w:noProof/>
          <w:sz w:val="24"/>
          <w:szCs w:val="20"/>
          <w:lang w:val="en-US" w:eastAsia="en-US" w:bidi="ar-SA"/>
        </w:rPr>
        <w:drawing>
          <wp:inline distT="0" distB="0" distL="0" distR="0" wp14:anchorId="75D322F3" wp14:editId="3FF0BE69">
            <wp:extent cx="2286000" cy="29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939" cy="295138"/>
                    </a:xfrm>
                    <a:prstGeom prst="rect">
                      <a:avLst/>
                    </a:prstGeom>
                    <a:noFill/>
                    <a:ln>
                      <a:noFill/>
                    </a:ln>
                  </pic:spPr>
                </pic:pic>
              </a:graphicData>
            </a:graphic>
          </wp:inline>
        </w:drawing>
      </w:r>
      <w:r w:rsidRPr="00180776">
        <w:rPr>
          <w:rFonts w:ascii="Times New Roman" w:hAnsi="Times New Roman"/>
          <w:snapToGrid w:val="0"/>
          <w:sz w:val="24"/>
        </w:rPr>
        <w:t xml:space="preserve"> </w:t>
      </w:r>
    </w:p>
    <w:p w:rsidR="006501D4" w:rsidRPr="00180776" w:rsidRDefault="006501D4" w:rsidP="006501D4">
      <w:pPr>
        <w:widowControl w:val="0"/>
        <w:spacing w:after="0" w:line="240" w:lineRule="auto"/>
        <w:jc w:val="both"/>
        <w:rPr>
          <w:rFonts w:ascii="Times New Roman" w:eastAsia="Times New Roman" w:hAnsi="Times New Roman" w:cs="Times New Roman"/>
          <w:b/>
          <w:bCs/>
          <w:snapToGrid w:val="0"/>
          <w:sz w:val="24"/>
          <w:szCs w:val="20"/>
        </w:rPr>
      </w:pPr>
      <w:r w:rsidRPr="00180776">
        <w:rPr>
          <w:rFonts w:ascii="Times New Roman" w:hAnsi="Times New Roman"/>
          <w:b/>
          <w:snapToGrid w:val="0"/>
          <w:sz w:val="24"/>
        </w:rPr>
        <w:t xml:space="preserve"> </w:t>
      </w:r>
    </w:p>
    <w:p w:rsidR="006501D4" w:rsidRPr="00180776" w:rsidRDefault="005230B0" w:rsidP="00CC5E31">
      <w:pPr>
        <w:spacing w:after="0" w:line="240" w:lineRule="auto"/>
        <w:jc w:val="center"/>
        <w:rPr>
          <w:rFonts w:ascii="Arial" w:eastAsia="Times New Roman" w:hAnsi="Arial" w:cs="Times New Roman"/>
          <w:b/>
          <w:color w:val="FF0000"/>
          <w:sz w:val="24"/>
          <w:szCs w:val="24"/>
        </w:rPr>
      </w:pPr>
      <w:r w:rsidRPr="00180776">
        <w:rPr>
          <w:rFonts w:ascii="Times New Roman" w:hAnsi="Times New Roman"/>
          <w:snapToGrid w:val="0"/>
          <w:sz w:val="24"/>
        </w:rPr>
        <w:t xml:space="preserve"> </w:t>
      </w:r>
    </w:p>
    <w:p w:rsidR="006501D4" w:rsidRPr="00180776" w:rsidRDefault="006501D4" w:rsidP="006501D4">
      <w:pPr>
        <w:tabs>
          <w:tab w:val="center" w:pos="4680"/>
        </w:tabs>
        <w:spacing w:after="0" w:line="240" w:lineRule="auto"/>
        <w:jc w:val="center"/>
        <w:outlineLvl w:val="0"/>
        <w:rPr>
          <w:rFonts w:ascii="Arial" w:eastAsia="Times New Roman" w:hAnsi="Arial" w:cs="Times New Roman"/>
          <w:sz w:val="24"/>
          <w:szCs w:val="24"/>
        </w:rPr>
      </w:pPr>
    </w:p>
    <w:p w:rsidR="006501D4" w:rsidRPr="00180776" w:rsidRDefault="006501D4" w:rsidP="006501D4">
      <w:pPr>
        <w:keepNext/>
        <w:widowControl w:val="0"/>
        <w:tabs>
          <w:tab w:val="center" w:pos="4680"/>
        </w:tabs>
        <w:spacing w:after="0" w:line="240" w:lineRule="auto"/>
        <w:jc w:val="center"/>
        <w:outlineLvl w:val="1"/>
        <w:rPr>
          <w:rFonts w:ascii="Arial" w:eastAsia="Times New Roman" w:hAnsi="Arial" w:cs="Times New Roman"/>
          <w:i/>
          <w:snapToGrid w:val="0"/>
          <w:sz w:val="24"/>
          <w:szCs w:val="20"/>
        </w:rPr>
      </w:pPr>
      <w:r w:rsidRPr="00180776">
        <w:rPr>
          <w:rFonts w:ascii="Arial" w:hAnsi="Arial"/>
          <w:i/>
          <w:snapToGrid w:val="0"/>
          <w:sz w:val="24"/>
        </w:rPr>
        <w:t>POLÍTICA Y PROCEDIMIENTO ADMINISTRATIVOS</w:t>
      </w:r>
    </w:p>
    <w:p w:rsidR="006501D4" w:rsidRPr="00180776" w:rsidRDefault="006501D4" w:rsidP="006501D4">
      <w:pPr>
        <w:tabs>
          <w:tab w:val="center" w:pos="4680"/>
        </w:tabs>
        <w:spacing w:after="0" w:line="240" w:lineRule="auto"/>
        <w:jc w:val="center"/>
        <w:outlineLvl w:val="0"/>
        <w:rPr>
          <w:rFonts w:ascii="Arial" w:eastAsia="Times New Roman" w:hAnsi="Arial" w:cs="Times New Roman"/>
          <w:i/>
          <w:sz w:val="24"/>
          <w:szCs w:val="24"/>
        </w:rPr>
      </w:pPr>
    </w:p>
    <w:tbl>
      <w:tblPr>
        <w:tblW w:w="0" w:type="auto"/>
        <w:tblInd w:w="350" w:type="dxa"/>
        <w:tblLayout w:type="fixed"/>
        <w:tblCellMar>
          <w:left w:w="350" w:type="dxa"/>
          <w:right w:w="350" w:type="dxa"/>
        </w:tblCellMar>
        <w:tblLook w:val="0000" w:firstRow="0" w:lastRow="0" w:firstColumn="0" w:lastColumn="0" w:noHBand="0" w:noVBand="0"/>
      </w:tblPr>
      <w:tblGrid>
        <w:gridCol w:w="9201"/>
      </w:tblGrid>
      <w:tr w:rsidR="006501D4" w:rsidRPr="00180776" w:rsidTr="00206EFD">
        <w:trPr>
          <w:trHeight w:val="2708"/>
        </w:trPr>
        <w:tc>
          <w:tcPr>
            <w:tcW w:w="9201" w:type="dxa"/>
            <w:tcBorders>
              <w:top w:val="double" w:sz="7" w:space="0" w:color="000000"/>
              <w:left w:val="double" w:sz="7" w:space="0" w:color="000000"/>
              <w:bottom w:val="double" w:sz="7" w:space="0" w:color="000000"/>
              <w:right w:val="double" w:sz="7" w:space="0" w:color="000000"/>
            </w:tcBorders>
          </w:tcPr>
          <w:p w:rsidR="006501D4" w:rsidRPr="00180776" w:rsidRDefault="006501D4" w:rsidP="006501D4">
            <w:pPr>
              <w:spacing w:after="0" w:line="374" w:lineRule="exact"/>
              <w:ind w:hanging="170"/>
              <w:rPr>
                <w:rFonts w:ascii="Arial" w:eastAsia="Times New Roman" w:hAnsi="Arial" w:cs="Times New Roman"/>
                <w:szCs w:val="24"/>
              </w:rPr>
            </w:pPr>
          </w:p>
          <w:p w:rsidR="006501D4" w:rsidRPr="00180776" w:rsidRDefault="006501D4" w:rsidP="006501D4">
            <w:pPr>
              <w:widowControl w:val="0"/>
              <w:tabs>
                <w:tab w:val="left" w:pos="1090"/>
                <w:tab w:val="left" w:pos="5860"/>
                <w:tab w:val="right" w:pos="8112"/>
              </w:tabs>
              <w:spacing w:after="0" w:line="240" w:lineRule="auto"/>
              <w:ind w:hanging="170"/>
              <w:rPr>
                <w:rFonts w:ascii="Arial" w:eastAsia="Times New Roman" w:hAnsi="Arial" w:cs="Times New Roman"/>
                <w:b/>
                <w:snapToGrid w:val="0"/>
                <w:szCs w:val="20"/>
              </w:rPr>
            </w:pPr>
            <w:r w:rsidRPr="00180776">
              <w:rPr>
                <w:rFonts w:ascii="Arial" w:hAnsi="Arial"/>
                <w:b/>
                <w:snapToGrid w:val="0"/>
              </w:rPr>
              <w:t>SUJETO:</w:t>
            </w:r>
            <w:r w:rsidRPr="00180776">
              <w:tab/>
            </w:r>
            <w:r w:rsidRPr="00180776">
              <w:rPr>
                <w:rFonts w:ascii="Arial" w:hAnsi="Arial"/>
                <w:b/>
                <w:snapToGrid w:val="0"/>
              </w:rPr>
              <w:t>POLÍTICA DE ASISTENCIA FINANCIERA</w:t>
            </w:r>
            <w:r w:rsidRPr="00180776">
              <w:tab/>
            </w:r>
            <w:r w:rsidRPr="00180776">
              <w:rPr>
                <w:rFonts w:ascii="Arial" w:hAnsi="Arial"/>
                <w:b/>
                <w:snapToGrid w:val="0"/>
              </w:rPr>
              <w:t xml:space="preserve">NÚMERO:  </w:t>
            </w:r>
          </w:p>
          <w:p w:rsidR="006501D4" w:rsidRPr="00180776" w:rsidRDefault="006501D4" w:rsidP="006501D4">
            <w:pPr>
              <w:widowControl w:val="0"/>
              <w:tabs>
                <w:tab w:val="left" w:pos="901"/>
                <w:tab w:val="right" w:pos="8112"/>
              </w:tabs>
              <w:spacing w:after="0" w:line="240" w:lineRule="auto"/>
              <w:ind w:left="901" w:hanging="81"/>
              <w:rPr>
                <w:rFonts w:ascii="Arial" w:eastAsia="Times New Roman" w:hAnsi="Arial" w:cs="Times New Roman"/>
                <w:b/>
                <w:snapToGrid w:val="0"/>
                <w:szCs w:val="20"/>
              </w:rPr>
            </w:pPr>
          </w:p>
          <w:p w:rsidR="006501D4" w:rsidRPr="00180776" w:rsidRDefault="006501D4" w:rsidP="006501D4">
            <w:pPr>
              <w:widowControl w:val="0"/>
              <w:tabs>
                <w:tab w:val="left" w:pos="901"/>
                <w:tab w:val="right" w:pos="8112"/>
              </w:tabs>
              <w:spacing w:after="0" w:line="240" w:lineRule="auto"/>
              <w:rPr>
                <w:rFonts w:ascii="Arial" w:eastAsia="Times New Roman" w:hAnsi="Arial" w:cs="Times New Roman"/>
                <w:b/>
                <w:snapToGrid w:val="0"/>
                <w:szCs w:val="20"/>
              </w:rPr>
            </w:pPr>
          </w:p>
          <w:p w:rsidR="006501D4" w:rsidRPr="00180776" w:rsidRDefault="006501D4" w:rsidP="006501D4">
            <w:pPr>
              <w:widowControl w:val="0"/>
              <w:tabs>
                <w:tab w:val="left" w:pos="1090"/>
                <w:tab w:val="right" w:pos="8112"/>
              </w:tabs>
              <w:spacing w:after="0" w:line="240" w:lineRule="auto"/>
              <w:ind w:left="902" w:hanging="1072"/>
              <w:rPr>
                <w:rFonts w:ascii="Arial" w:eastAsia="Times New Roman" w:hAnsi="Arial" w:cs="Times New Roman"/>
                <w:b/>
                <w:snapToGrid w:val="0"/>
                <w:szCs w:val="20"/>
              </w:rPr>
            </w:pPr>
            <w:r w:rsidRPr="00180776">
              <w:rPr>
                <w:rFonts w:ascii="Arial" w:hAnsi="Arial"/>
                <w:b/>
                <w:snapToGrid w:val="0"/>
              </w:rPr>
              <w:t>TITULAR:</w:t>
            </w:r>
            <w:r w:rsidRPr="00180776">
              <w:tab/>
            </w:r>
            <w:r w:rsidRPr="00180776">
              <w:rPr>
                <w:rFonts w:ascii="Arial" w:hAnsi="Arial"/>
                <w:b/>
                <w:snapToGrid w:val="0"/>
              </w:rPr>
              <w:t xml:space="preserve">Oficina del Presidente </w:t>
            </w:r>
          </w:p>
          <w:p w:rsidR="006501D4" w:rsidRPr="00180776" w:rsidRDefault="006501D4" w:rsidP="006501D4">
            <w:pPr>
              <w:widowControl w:val="0"/>
              <w:tabs>
                <w:tab w:val="left" w:pos="901"/>
                <w:tab w:val="left" w:pos="3600"/>
                <w:tab w:val="left" w:pos="6457"/>
                <w:tab w:val="right" w:pos="8112"/>
              </w:tabs>
              <w:spacing w:after="0" w:line="240" w:lineRule="auto"/>
              <w:ind w:left="902" w:hanging="901"/>
              <w:rPr>
                <w:rFonts w:ascii="Arial" w:eastAsia="Times New Roman" w:hAnsi="Arial" w:cs="Times New Roman"/>
                <w:b/>
                <w:snapToGrid w:val="0"/>
                <w:szCs w:val="20"/>
              </w:rPr>
            </w:pPr>
          </w:p>
          <w:p w:rsidR="006501D4" w:rsidRPr="00180776" w:rsidRDefault="006501D4" w:rsidP="006501D4">
            <w:pPr>
              <w:widowControl w:val="0"/>
              <w:tabs>
                <w:tab w:val="left" w:pos="901"/>
                <w:tab w:val="left" w:pos="3600"/>
                <w:tab w:val="left" w:pos="5860"/>
                <w:tab w:val="right" w:pos="8112"/>
              </w:tabs>
              <w:spacing w:after="0" w:line="240" w:lineRule="auto"/>
              <w:ind w:left="902" w:hanging="1072"/>
              <w:rPr>
                <w:rFonts w:ascii="Arial" w:eastAsia="Times New Roman" w:hAnsi="Arial" w:cs="Times New Roman"/>
                <w:b/>
                <w:snapToGrid w:val="0"/>
                <w:szCs w:val="20"/>
              </w:rPr>
            </w:pPr>
            <w:r w:rsidRPr="00180776">
              <w:rPr>
                <w:rFonts w:ascii="Arial" w:hAnsi="Arial"/>
                <w:b/>
                <w:snapToGrid w:val="0"/>
              </w:rPr>
              <w:t>EN VIGENCIA</w:t>
            </w:r>
            <w:r w:rsidRPr="00180776">
              <w:tab/>
            </w:r>
            <w:r w:rsidRPr="00180776">
              <w:rPr>
                <w:rFonts w:ascii="Arial" w:hAnsi="Arial"/>
                <w:b/>
                <w:snapToGrid w:val="0"/>
              </w:rPr>
              <w:t>REVISADA</w:t>
            </w:r>
            <w:r w:rsidRPr="00180776">
              <w:tab/>
            </w:r>
            <w:r w:rsidRPr="00180776">
              <w:rPr>
                <w:rFonts w:ascii="Arial" w:hAnsi="Arial"/>
                <w:b/>
                <w:snapToGrid w:val="0"/>
              </w:rPr>
              <w:t>SUPERVISA:</w:t>
            </w:r>
            <w:r w:rsidR="003E6ED6">
              <w:rPr>
                <w:rFonts w:ascii="Arial" w:hAnsi="Arial"/>
                <w:b/>
                <w:snapToGrid w:val="0"/>
              </w:rPr>
              <w:t>04/</w:t>
            </w:r>
            <w:r w:rsidR="008A7C43">
              <w:rPr>
                <w:rFonts w:ascii="Arial" w:hAnsi="Arial"/>
                <w:b/>
                <w:snapToGrid w:val="0"/>
              </w:rPr>
              <w:t>27</w:t>
            </w:r>
            <w:r w:rsidR="003E6ED6">
              <w:rPr>
                <w:rFonts w:ascii="Arial" w:hAnsi="Arial"/>
                <w:b/>
                <w:snapToGrid w:val="0"/>
              </w:rPr>
              <w:t>/201</w:t>
            </w:r>
            <w:r w:rsidR="008A7C43">
              <w:rPr>
                <w:rFonts w:ascii="Arial" w:hAnsi="Arial"/>
                <w:b/>
                <w:snapToGrid w:val="0"/>
              </w:rPr>
              <w:t>7</w:t>
            </w:r>
          </w:p>
          <w:p w:rsidR="006501D4" w:rsidRPr="00180776" w:rsidRDefault="006501D4" w:rsidP="006501D4">
            <w:pPr>
              <w:widowControl w:val="0"/>
              <w:tabs>
                <w:tab w:val="left" w:pos="901"/>
                <w:tab w:val="left" w:pos="3600"/>
                <w:tab w:val="left" w:pos="5860"/>
                <w:tab w:val="right" w:pos="8112"/>
              </w:tabs>
              <w:spacing w:after="0" w:line="240" w:lineRule="auto"/>
              <w:ind w:left="902" w:hanging="1072"/>
              <w:rPr>
                <w:rFonts w:ascii="Arial" w:eastAsia="Times New Roman" w:hAnsi="Arial" w:cs="Times New Roman"/>
                <w:b/>
                <w:snapToGrid w:val="0"/>
                <w:szCs w:val="20"/>
              </w:rPr>
            </w:pPr>
            <w:r w:rsidRPr="00180776">
              <w:rPr>
                <w:rFonts w:ascii="Arial" w:hAnsi="Arial"/>
                <w:b/>
                <w:snapToGrid w:val="0"/>
              </w:rPr>
              <w:t>FECHA:</w:t>
            </w:r>
            <w:r w:rsidRPr="00180776">
              <w:tab/>
            </w:r>
            <w:r w:rsidRPr="00180776">
              <w:rPr>
                <w:rFonts w:ascii="Arial" w:hAnsi="Arial"/>
                <w:b/>
                <w:snapToGrid w:val="0"/>
              </w:rPr>
              <w:t xml:space="preserve"> </w:t>
            </w:r>
            <w:r w:rsidRPr="00180776">
              <w:tab/>
            </w:r>
            <w:r w:rsidRPr="00180776">
              <w:rPr>
                <w:rFonts w:ascii="Arial" w:hAnsi="Arial"/>
                <w:b/>
                <w:snapToGrid w:val="0"/>
              </w:rPr>
              <w:t xml:space="preserve">FECHA:  </w:t>
            </w:r>
            <w:r w:rsidR="00692FEA">
              <w:rPr>
                <w:rFonts w:ascii="Arial" w:hAnsi="Arial"/>
                <w:b/>
                <w:snapToGrid w:val="0"/>
              </w:rPr>
              <w:t>04/</w:t>
            </w:r>
            <w:r w:rsidR="008A7C43">
              <w:rPr>
                <w:rFonts w:ascii="Arial" w:hAnsi="Arial"/>
                <w:b/>
                <w:snapToGrid w:val="0"/>
              </w:rPr>
              <w:t>30</w:t>
            </w:r>
            <w:r w:rsidR="00692FEA">
              <w:rPr>
                <w:rFonts w:ascii="Arial" w:hAnsi="Arial"/>
                <w:b/>
                <w:snapToGrid w:val="0"/>
              </w:rPr>
              <w:t>/201</w:t>
            </w:r>
            <w:r w:rsidR="008A7C43">
              <w:rPr>
                <w:rFonts w:ascii="Arial" w:hAnsi="Arial"/>
                <w:b/>
                <w:snapToGrid w:val="0"/>
              </w:rPr>
              <w:t>8</w:t>
            </w:r>
          </w:p>
          <w:p w:rsidR="006501D4" w:rsidRPr="00180776" w:rsidRDefault="006501D4" w:rsidP="006501D4">
            <w:pPr>
              <w:widowControl w:val="0"/>
              <w:tabs>
                <w:tab w:val="left" w:pos="901"/>
                <w:tab w:val="left" w:pos="3600"/>
                <w:tab w:val="left" w:pos="6457"/>
                <w:tab w:val="right" w:pos="8112"/>
              </w:tabs>
              <w:spacing w:after="0" w:line="240" w:lineRule="auto"/>
              <w:ind w:left="902" w:hanging="1072"/>
              <w:rPr>
                <w:rFonts w:ascii="Arial" w:eastAsia="Times New Roman" w:hAnsi="Arial" w:cs="Times New Roman"/>
                <w:b/>
                <w:snapToGrid w:val="0"/>
                <w:szCs w:val="20"/>
              </w:rPr>
            </w:pPr>
          </w:p>
          <w:p w:rsidR="006501D4" w:rsidRPr="00180776" w:rsidRDefault="006501D4" w:rsidP="006501D4">
            <w:pPr>
              <w:tabs>
                <w:tab w:val="left" w:pos="-1440"/>
              </w:tabs>
              <w:spacing w:after="230" w:line="240" w:lineRule="auto"/>
              <w:ind w:left="2880" w:hanging="2880"/>
              <w:rPr>
                <w:rFonts w:ascii="Arial" w:eastAsia="Times New Roman" w:hAnsi="Arial" w:cs="Times New Roman"/>
                <w:szCs w:val="24"/>
              </w:rPr>
            </w:pPr>
            <w:r w:rsidRPr="00180776">
              <w:rPr>
                <w:rFonts w:ascii="Arial" w:hAnsi="Arial"/>
                <w:b/>
              </w:rPr>
              <w:t xml:space="preserve">REFERENCIA:  </w:t>
            </w:r>
          </w:p>
        </w:tc>
      </w:tr>
    </w:tbl>
    <w:p w:rsidR="006501D4" w:rsidRPr="00180776" w:rsidRDefault="006501D4" w:rsidP="006501D4">
      <w:pPr>
        <w:spacing w:after="0" w:line="240" w:lineRule="auto"/>
        <w:ind w:left="1440" w:hanging="1440"/>
        <w:rPr>
          <w:rFonts w:ascii="Times New Roman" w:eastAsia="Times New Roman" w:hAnsi="Times New Roman" w:cs="Times New Roman"/>
          <w:b/>
          <w:szCs w:val="24"/>
        </w:rPr>
      </w:pPr>
    </w:p>
    <w:p w:rsidR="006501D4"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b/>
          <w:u w:val="single"/>
        </w:rPr>
        <w:t>OBJETIVO</w:t>
      </w:r>
      <w:r w:rsidRPr="00180776">
        <w:rPr>
          <w:rFonts w:ascii="Times New Roman" w:hAnsi="Times New Roman"/>
          <w:b/>
        </w:rPr>
        <w:t>:</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rPr>
        <w:t>Montefiore Mount Vernon Hospital (el Centro Médico) tiene como misión proporcionar atención de alta calidad para todos</w:t>
      </w:r>
      <w:r w:rsidRPr="00180776">
        <w:rPr>
          <w:rFonts w:ascii="Times New Roman" w:hAnsi="Times New Roman"/>
          <w:i/>
        </w:rPr>
        <w:t xml:space="preserve"> </w:t>
      </w:r>
      <w:r w:rsidRPr="00180776">
        <w:rPr>
          <w:rFonts w:ascii="Times New Roman" w:hAnsi="Times New Roman"/>
        </w:rPr>
        <w:t xml:space="preserve">sus pacientes. Estamos comprometidos a atender a todos los pacientes, incluidos los de nuestra área de servicio que carecen de cobertura de seguro de salud y que no pueden pagar la totalidad o una parte de la atención esencial que reciben en el Centro Médico. Nos comprometemos a tratar a todos los pacientes con compasión, tanto cuando se encuentran en la cama como en la oficina de facturación, incluso al intentar cobrar los pagos.  Además, nos comprometemos a defender un mayor acceso a la cobertura de salud para todos los neoyorquinos.  </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rPr>
        <w:t>El centro médico se compromete a mantener las políticas de asistencia financiera que sean compatibles con su misión y valores, y que sean acordes a la capacidad del individuo para pagar los servicios de atención médica que sean médicamente necesarios.</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b/>
          <w:u w:val="single"/>
        </w:rPr>
        <w:t>DIRECTRICES DE LA POLÍTICA</w:t>
      </w:r>
      <w:r w:rsidRPr="00180776">
        <w:rPr>
          <w:rFonts w:ascii="Times New Roman" w:hAnsi="Times New Roman"/>
          <w:b/>
        </w:rPr>
        <w:t>:</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rPr>
        <w:t xml:space="preserve">Esta política intenta cubrir las directrices del Centro Médico para la administración de la asistencia financiera a los pacientes que requieren atención de emergencia y servicios médicamente necesarios y que carecen de seguro de salud o hayan agotado todas las fuentes de pago del seguro.  La asistencia financiera se proporciona a los pacientes con una incapacidad demostrada para pagar, a diferencia de la falta de disposición para pagar, que se considera deuda incobrable.  La política cubre todos los servicios que se presten en Montefiore Mount Vernon, la Clínica de Enfermedades Infecciosas y los programas ACT/ICM (programa de salud mental). </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rPr>
        <w:t xml:space="preserve">1.  </w:t>
      </w:r>
      <w:r w:rsidRPr="00180776">
        <w:tab/>
      </w:r>
      <w:r w:rsidRPr="00180776">
        <w:rPr>
          <w:rFonts w:ascii="Times New Roman" w:hAnsi="Times New Roman"/>
        </w:rPr>
        <w:t>La asistencia financiera estará disponible para los siguientes:</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numPr>
          <w:ilvl w:val="0"/>
          <w:numId w:val="1"/>
        </w:numPr>
        <w:tabs>
          <w:tab w:val="num" w:pos="720"/>
          <w:tab w:val="num" w:pos="1080"/>
        </w:tabs>
        <w:spacing w:after="0" w:line="240" w:lineRule="auto"/>
        <w:rPr>
          <w:rFonts w:ascii="Times New Roman" w:eastAsia="Times New Roman" w:hAnsi="Times New Roman" w:cs="Times New Roman"/>
          <w:szCs w:val="24"/>
        </w:rPr>
      </w:pPr>
      <w:r w:rsidRPr="00180776">
        <w:rPr>
          <w:rFonts w:ascii="Times New Roman" w:hAnsi="Times New Roman"/>
        </w:rPr>
        <w:t>los pacientes sin seguro que residen en el área de servicio principal del Centro Médico y que reciben servicios médicamente necesarios o atención de emergencia (consulte el Anexo A para ver el gráfico y los niveles de ayuda financiera).</w:t>
      </w:r>
    </w:p>
    <w:p w:rsidR="006501D4" w:rsidRPr="00180776" w:rsidRDefault="006501D4" w:rsidP="006501D4">
      <w:pPr>
        <w:tabs>
          <w:tab w:val="num" w:pos="1080"/>
        </w:tabs>
        <w:spacing w:after="0" w:line="240" w:lineRule="auto"/>
        <w:ind w:left="360"/>
        <w:rPr>
          <w:rFonts w:ascii="Times New Roman" w:eastAsia="Times New Roman" w:hAnsi="Times New Roman" w:cs="Times New Roman"/>
          <w:szCs w:val="24"/>
        </w:rPr>
      </w:pPr>
    </w:p>
    <w:p w:rsidR="006501D4" w:rsidRPr="00180776" w:rsidRDefault="006501D4" w:rsidP="006501D4">
      <w:pPr>
        <w:numPr>
          <w:ilvl w:val="0"/>
          <w:numId w:val="1"/>
        </w:numPr>
        <w:tabs>
          <w:tab w:val="num" w:pos="720"/>
        </w:tabs>
        <w:spacing w:after="0" w:line="240" w:lineRule="auto"/>
        <w:rPr>
          <w:rFonts w:ascii="Times New Roman" w:eastAsia="Times New Roman" w:hAnsi="Times New Roman" w:cs="Times New Roman"/>
          <w:szCs w:val="24"/>
        </w:rPr>
      </w:pPr>
      <w:r w:rsidRPr="00180776">
        <w:rPr>
          <w:rFonts w:ascii="Times New Roman" w:hAnsi="Times New Roman"/>
        </w:rPr>
        <w:t>Los pacientes que residen en la zona de servicio principal del Centro Médico que agotaron sus beneficios médicos para recibir atención médicamente necesaria o de emergencia.</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sidRPr="00180776">
        <w:rPr>
          <w:rFonts w:ascii="Times New Roman" w:hAnsi="Times New Roman"/>
        </w:rPr>
        <w:t xml:space="preserve">Salvo en lo que respecta a los servicios de emergencia, los pacientes deben residir en el área de servicio principal del Centro Médico para que un servicio particular sea categóricamente elegible </w:t>
      </w:r>
      <w:r w:rsidRPr="00180776">
        <w:rPr>
          <w:rFonts w:ascii="Times New Roman" w:hAnsi="Times New Roman"/>
        </w:rPr>
        <w:lastRenderedPageBreak/>
        <w:t xml:space="preserve">para recibir asistencia financiera.  La zona primaria de servicio del Centro Médico es el estado de Nueva York.  Los pacientes que residen fuera del estado de Nueva York que reciben atención de emergencia son elegibles para recibir asistencia financiera. </w:t>
      </w:r>
    </w:p>
    <w:p w:rsidR="006501D4" w:rsidRPr="00180776" w:rsidRDefault="006501D4" w:rsidP="006501D4">
      <w:pPr>
        <w:spacing w:after="0" w:line="240" w:lineRule="auto"/>
        <w:ind w:left="720"/>
        <w:rPr>
          <w:rFonts w:ascii="Times New Roman" w:eastAsia="Times New Roman" w:hAnsi="Times New Roman" w:cs="Times New Roman"/>
          <w:szCs w:val="24"/>
        </w:rPr>
      </w:pPr>
    </w:p>
    <w:p w:rsidR="006501D4" w:rsidRPr="00180776"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sidRPr="00180776">
        <w:rPr>
          <w:rFonts w:ascii="Times New Roman" w:hAnsi="Times New Roman"/>
        </w:rPr>
        <w:t xml:space="preserve">La elegibilidad para recibir asistencia financiera por atención que no es de emergencia para no residentes del estado de Nueva York se determinará caso por caso y requiere la aprobación del vicepresidente.  Si el paciente está aprobado para recibir asistencia financiera como una excepción, se lo evaluará usando los mismos criterios que para los pacientes que residen en el área de servicio primario (ingresos brutos y tamaño de la familia conformes al nivel federal de pobreza).   </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sidRPr="00180776">
        <w:rPr>
          <w:rFonts w:ascii="Times New Roman" w:hAnsi="Times New Roman"/>
        </w:rPr>
        <w:t xml:space="preserve">Los procedimientos electivos que no se consideran médicamente necesarios (por ejemplo, cirugía estética, tratamiento de infertilidad) no son elegibles para recibir asistencia financiera. Los pacientes pueden obtener un descuento por pago automático por los servicios que no están cubiertos. </w:t>
      </w:r>
    </w:p>
    <w:p w:rsidR="006501D4" w:rsidRPr="00180776" w:rsidRDefault="006501D4" w:rsidP="006501D4">
      <w:pPr>
        <w:spacing w:after="0" w:line="240" w:lineRule="auto"/>
        <w:ind w:left="720"/>
        <w:rPr>
          <w:rFonts w:ascii="Times New Roman" w:eastAsia="Times New Roman" w:hAnsi="Times New Roman" w:cs="Times New Roman"/>
          <w:szCs w:val="24"/>
        </w:rPr>
      </w:pPr>
    </w:p>
    <w:p w:rsidR="006501D4" w:rsidRPr="00180776" w:rsidRDefault="006501D4" w:rsidP="006501D4">
      <w:pPr>
        <w:numPr>
          <w:ilvl w:val="0"/>
          <w:numId w:val="1"/>
        </w:numPr>
        <w:tabs>
          <w:tab w:val="left" w:pos="720"/>
        </w:tabs>
        <w:spacing w:after="0" w:line="240" w:lineRule="auto"/>
        <w:rPr>
          <w:rFonts w:ascii="Times New Roman" w:eastAsia="Times New Roman" w:hAnsi="Times New Roman" w:cs="Times New Roman"/>
          <w:szCs w:val="24"/>
        </w:rPr>
      </w:pPr>
      <w:r w:rsidRPr="00180776">
        <w:rPr>
          <w:rFonts w:ascii="Times New Roman" w:hAnsi="Times New Roman"/>
        </w:rPr>
        <w:t xml:space="preserve">La política de asistencia financiera sigue las directrices de EMTALA. </w:t>
      </w: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 xml:space="preserve">2.      </w:t>
      </w:r>
      <w:r w:rsidRPr="00180776">
        <w:tab/>
      </w:r>
      <w:r w:rsidRPr="00180776">
        <w:rPr>
          <w:rFonts w:ascii="Times New Roman" w:hAnsi="Times New Roman"/>
        </w:rPr>
        <w:t>El Centro Médico no establece un límite en los servicios en función de la condición médica de un paciente.</w:t>
      </w: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3.</w:t>
      </w:r>
      <w:r w:rsidRPr="00180776">
        <w:tab/>
      </w:r>
      <w:r w:rsidRPr="00180776">
        <w:rPr>
          <w:rFonts w:ascii="Times New Roman" w:hAnsi="Times New Roman"/>
        </w:rPr>
        <w:t>Las oficinas de asistencia financiera están ubicadas en la siguiente dirección:</w:t>
      </w:r>
    </w:p>
    <w:p w:rsidR="00095904" w:rsidRPr="00180776" w:rsidRDefault="00095904" w:rsidP="00095904">
      <w:pPr>
        <w:spacing w:after="0" w:line="240" w:lineRule="auto"/>
        <w:rPr>
          <w:rFonts w:ascii="Times New Roman" w:eastAsia="Times New Roman" w:hAnsi="Times New Roman" w:cs="Times New Roman"/>
          <w:szCs w:val="24"/>
        </w:rPr>
      </w:pPr>
    </w:p>
    <w:p w:rsidR="00095904" w:rsidRPr="00180776" w:rsidRDefault="00095904" w:rsidP="00095904">
      <w:pPr>
        <w:spacing w:after="0" w:line="240" w:lineRule="auto"/>
        <w:rPr>
          <w:rFonts w:ascii="Times New Roman" w:eastAsia="Times New Roman" w:hAnsi="Times New Roman" w:cs="Times New Roman"/>
          <w:szCs w:val="24"/>
        </w:rPr>
      </w:pPr>
      <w:r w:rsidRPr="00180776">
        <w:rPr>
          <w:rFonts w:ascii="Times New Roman" w:hAnsi="Times New Roman"/>
        </w:rPr>
        <w:t xml:space="preserve">             12 North 7</w:t>
      </w:r>
      <w:r w:rsidRPr="00180776">
        <w:rPr>
          <w:rFonts w:ascii="Times New Roman" w:hAnsi="Times New Roman"/>
          <w:vertAlign w:val="superscript"/>
        </w:rPr>
        <w:t>th</w:t>
      </w:r>
      <w:r w:rsidRPr="00180776">
        <w:rPr>
          <w:rFonts w:ascii="Times New Roman" w:hAnsi="Times New Roman"/>
        </w:rPr>
        <w:t xml:space="preserve"> Avenue Mt. Vernon, NY 10551 Oficina Principal de Cajeros (914-361-6899/ </w:t>
      </w:r>
    </w:p>
    <w:p w:rsidR="00173CD4" w:rsidRPr="00180776" w:rsidRDefault="00095904" w:rsidP="00095904">
      <w:pPr>
        <w:spacing w:after="0" w:line="240" w:lineRule="auto"/>
        <w:rPr>
          <w:rFonts w:ascii="Times New Roman" w:eastAsia="Times New Roman" w:hAnsi="Times New Roman" w:cs="Times New Roman"/>
          <w:szCs w:val="24"/>
        </w:rPr>
      </w:pPr>
      <w:r w:rsidRPr="00180776">
        <w:rPr>
          <w:rFonts w:ascii="Times New Roman" w:hAnsi="Times New Roman"/>
        </w:rPr>
        <w:t xml:space="preserve">             </w:t>
      </w:r>
      <w:hyperlink r:id="rId7">
        <w:r w:rsidRPr="00180776">
          <w:rPr>
            <w:rStyle w:val="Hyperlink"/>
            <w:rFonts w:ascii="Times New Roman" w:hAnsi="Times New Roman"/>
          </w:rPr>
          <w:t>MVFinancialAssistance@montefiore.org</w:t>
        </w:r>
      </w:hyperlink>
      <w:r w:rsidRPr="00180776">
        <w:rPr>
          <w:rStyle w:val="Hyperlink"/>
          <w:rFonts w:ascii="Times New Roman" w:hAnsi="Times New Roman"/>
          <w:color w:val="auto"/>
        </w:rPr>
        <w:t>)</w:t>
      </w:r>
      <w:r w:rsidRPr="00180776">
        <w:rPr>
          <w:rFonts w:ascii="Times New Roman" w:hAnsi="Times New Roman"/>
        </w:rPr>
        <w:t xml:space="preserve">. </w:t>
      </w:r>
    </w:p>
    <w:p w:rsidR="007339A9" w:rsidRPr="00180776" w:rsidRDefault="007339A9" w:rsidP="007339A9">
      <w:pPr>
        <w:pStyle w:val="ListParagraph"/>
        <w:rPr>
          <w:color w:val="000000"/>
          <w:sz w:val="22"/>
          <w:szCs w:val="22"/>
        </w:rPr>
      </w:pPr>
      <w:r w:rsidRPr="00180776">
        <w:rPr>
          <w:color w:val="000000"/>
          <w:sz w:val="22"/>
        </w:rPr>
        <w:t xml:space="preserve"> </w:t>
      </w:r>
    </w:p>
    <w:p w:rsidR="007339A9" w:rsidRPr="00180776" w:rsidRDefault="007339A9" w:rsidP="007339A9">
      <w:pPr>
        <w:pStyle w:val="ListParagraph"/>
        <w:rPr>
          <w:color w:val="000000"/>
          <w:sz w:val="22"/>
          <w:szCs w:val="22"/>
        </w:rPr>
      </w:pPr>
    </w:p>
    <w:p w:rsidR="007339A9" w:rsidRPr="00180776" w:rsidRDefault="007339A9" w:rsidP="007339A9">
      <w:pPr>
        <w:pStyle w:val="ListParagraph"/>
        <w:rPr>
          <w:b/>
          <w:color w:val="0000FF"/>
          <w:sz w:val="22"/>
          <w:szCs w:val="22"/>
        </w:rPr>
      </w:pPr>
      <w:r w:rsidRPr="00180776">
        <w:rPr>
          <w:color w:val="000000"/>
          <w:sz w:val="22"/>
        </w:rPr>
        <w:t>Las copias impresas de la política de asistencia financiera, el resume</w:t>
      </w:r>
      <w:r w:rsidR="00D7731D" w:rsidRPr="00180776">
        <w:rPr>
          <w:color w:val="000000"/>
          <w:sz w:val="22"/>
        </w:rPr>
        <w:t>n de asistencia financiera o la</w:t>
      </w:r>
      <w:r w:rsidRPr="00180776">
        <w:rPr>
          <w:color w:val="000000"/>
          <w:sz w:val="22"/>
        </w:rPr>
        <w:t xml:space="preserve"> aplicación Asistencia Financiera se encuentran disponibles a pedido, sin cargo, por correo postal o por correo electrónico. Las solicitudes por correo electrónico pueden enviarse a </w:t>
      </w:r>
      <w:hyperlink r:id="rId8">
        <w:r w:rsidRPr="00180776">
          <w:rPr>
            <w:rStyle w:val="Hyperlink"/>
            <w:b/>
            <w:sz w:val="22"/>
          </w:rPr>
          <w:t>NRFinancialAssistance@montefiore.org</w:t>
        </w:r>
      </w:hyperlink>
      <w:r w:rsidRPr="00180776">
        <w:rPr>
          <w:b/>
          <w:color w:val="0000FF"/>
          <w:sz w:val="22"/>
          <w:u w:val="single"/>
        </w:rPr>
        <w:t>.</w:t>
      </w:r>
      <w:r w:rsidRPr="00180776">
        <w:rPr>
          <w:b/>
          <w:color w:val="0000FF"/>
          <w:sz w:val="22"/>
        </w:rPr>
        <w:t xml:space="preserve">                   </w:t>
      </w:r>
    </w:p>
    <w:p w:rsidR="007339A9" w:rsidRPr="00180776" w:rsidRDefault="007339A9" w:rsidP="007339A9">
      <w:pPr>
        <w:pStyle w:val="ListParagraph"/>
        <w:rPr>
          <w:sz w:val="22"/>
          <w:szCs w:val="22"/>
        </w:rPr>
      </w:pPr>
      <w:r w:rsidRPr="00180776">
        <w:rPr>
          <w:sz w:val="22"/>
        </w:rPr>
        <w:t>También puede encontrarlas en el sitio web del establecimiento:</w:t>
      </w:r>
      <w:hyperlink r:id="rId9"/>
      <w:r w:rsidRPr="00180776">
        <w:t xml:space="preserve">     </w:t>
      </w:r>
    </w:p>
    <w:p w:rsidR="007339A9" w:rsidRPr="00180776" w:rsidRDefault="007339A9" w:rsidP="007339A9">
      <w:pPr>
        <w:pStyle w:val="ListParagraph"/>
      </w:pPr>
      <w:r w:rsidRPr="00180776">
        <w:t xml:space="preserve"> </w:t>
      </w:r>
      <w:hyperlink r:id="rId10">
        <w:r w:rsidRPr="00180776">
          <w:rPr>
            <w:color w:val="0000FF"/>
            <w:u w:val="single"/>
          </w:rPr>
          <w:t>http://www.montefiorehealthsystem.org/body.cfm?id=69</w:t>
        </w:r>
      </w:hyperlink>
      <w:r w:rsidRPr="00180776">
        <w:rPr>
          <w:color w:val="0000FF"/>
          <w:u w:val="single"/>
        </w:rPr>
        <w:t xml:space="preserve">. </w:t>
      </w:r>
      <w:r w:rsidRPr="00180776">
        <w:rPr>
          <w:b/>
          <w:color w:val="0000FF"/>
          <w:sz w:val="22"/>
          <w:u w:val="single"/>
        </w:rPr>
        <w:t xml:space="preserve"> </w:t>
      </w:r>
    </w:p>
    <w:p w:rsidR="006501D4" w:rsidRPr="00180776" w:rsidRDefault="006501D4" w:rsidP="00D7731D">
      <w:pPr>
        <w:tabs>
          <w:tab w:val="left" w:pos="720"/>
        </w:tabs>
        <w:spacing w:after="0" w:line="240" w:lineRule="auto"/>
        <w:rPr>
          <w:rFonts w:ascii="Times New Roman" w:eastAsia="Times New Roman" w:hAnsi="Times New Roman" w:cs="Times New Roman"/>
          <w:szCs w:val="24"/>
        </w:rPr>
      </w:pPr>
    </w:p>
    <w:p w:rsidR="00D7731D" w:rsidRPr="00180776" w:rsidRDefault="00D7731D" w:rsidP="00D7731D">
      <w:pPr>
        <w:tabs>
          <w:tab w:val="left" w:pos="720"/>
        </w:tabs>
        <w:spacing w:after="0" w:line="240" w:lineRule="auto"/>
        <w:rPr>
          <w:rFonts w:ascii="Times New Roman" w:eastAsia="Calibri" w:hAnsi="Times New Roman" w:cs="Times New Roman"/>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4.</w:t>
      </w:r>
      <w:r w:rsidRPr="00180776">
        <w:tab/>
      </w:r>
      <w:r w:rsidRPr="00180776">
        <w:rPr>
          <w:rFonts w:ascii="Times New Roman" w:hAnsi="Times New Roman"/>
        </w:rPr>
        <w:t xml:space="preserve">Los pacientes sin seguro que reciben servicios en las sedes de la clínica ambulatoria del Centro Médico pueden solicitar asistencia financiera al momento de registrarse en la clínica.  Todos los pacientes que reciben servicios a través de Montefiore pueden visitar la oficina de asistencia financiera que se menciona arriba para iniciar o completar sus solicitudes. </w:t>
      </w: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5.</w:t>
      </w:r>
      <w:r w:rsidRPr="00180776">
        <w:tab/>
      </w:r>
      <w:r w:rsidRPr="00180776">
        <w:rPr>
          <w:rFonts w:ascii="Times New Roman" w:hAnsi="Times New Roman"/>
        </w:rPr>
        <w:t xml:space="preserve">La determinación de la elegibilidad para recibir asistencia financiera se hará lo antes posible durante el proceso de planificación de </w:t>
      </w:r>
      <w:r w:rsidR="00CD355A" w:rsidRPr="00180776">
        <w:rPr>
          <w:rFonts w:ascii="Times New Roman" w:hAnsi="Times New Roman"/>
        </w:rPr>
        <w:t xml:space="preserve">la atención y la programación. </w:t>
      </w:r>
      <w:r w:rsidRPr="00180776">
        <w:rPr>
          <w:rFonts w:ascii="Times New Roman" w:hAnsi="Times New Roman"/>
        </w:rPr>
        <w:t>Los asesores asistirán a los pacientes que requieren asistencia para completar solici</w:t>
      </w:r>
      <w:r w:rsidR="00CD355A" w:rsidRPr="00180776">
        <w:rPr>
          <w:rFonts w:ascii="Times New Roman" w:hAnsi="Times New Roman"/>
        </w:rPr>
        <w:t>tudes de asistencia financiera.</w:t>
      </w:r>
      <w:r w:rsidRPr="00180776">
        <w:rPr>
          <w:rFonts w:ascii="Times New Roman" w:hAnsi="Times New Roman"/>
        </w:rPr>
        <w:t xml:space="preserve"> Los servicios de emergencia no se demorarán por dec</w:t>
      </w:r>
      <w:r w:rsidR="00CD355A" w:rsidRPr="00180776">
        <w:rPr>
          <w:rFonts w:ascii="Times New Roman" w:hAnsi="Times New Roman"/>
        </w:rPr>
        <w:t>isiones financieras pendientes.</w:t>
      </w:r>
      <w:r w:rsidRPr="00180776">
        <w:rPr>
          <w:rFonts w:ascii="Times New Roman" w:hAnsi="Times New Roman"/>
        </w:rPr>
        <w:t xml:space="preserve"> Los pacientes pueden solicitar asistencia financiera previa a los servicios o después </w:t>
      </w:r>
      <w:r w:rsidR="00CD355A" w:rsidRPr="00180776">
        <w:rPr>
          <w:rFonts w:ascii="Times New Roman" w:hAnsi="Times New Roman"/>
        </w:rPr>
        <w:t xml:space="preserve">de la recepción de la factura. </w:t>
      </w:r>
      <w:r w:rsidRPr="00180776">
        <w:rPr>
          <w:rFonts w:ascii="Times New Roman" w:hAnsi="Times New Roman"/>
        </w:rPr>
        <w:t>Los pacientes también pueden solicitar asistencia financiera después de enviar una factu</w:t>
      </w:r>
      <w:r w:rsidR="00CD355A" w:rsidRPr="00180776">
        <w:rPr>
          <w:rFonts w:ascii="Times New Roman" w:hAnsi="Times New Roman"/>
        </w:rPr>
        <w:t xml:space="preserve">ra a una agencia de cobranzas. </w:t>
      </w:r>
      <w:r w:rsidRPr="00180776">
        <w:rPr>
          <w:rFonts w:ascii="Times New Roman" w:hAnsi="Times New Roman"/>
        </w:rPr>
        <w:t xml:space="preserve">No hay fecha límite para que un paciente pueda solicitar completar una solicitud de asistencia financiera.  </w:t>
      </w: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 xml:space="preserve">6.          Las aprobaciones de asistencia financiera serán válidas por un año.  Se volverá a evaluar cada año a los pacientes que la soliciten. </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7.</w:t>
      </w:r>
      <w:r w:rsidRPr="00180776">
        <w:tab/>
      </w:r>
      <w:r w:rsidRPr="00180776">
        <w:rPr>
          <w:rFonts w:ascii="Times New Roman" w:hAnsi="Times New Roman"/>
        </w:rPr>
        <w:t xml:space="preserve">Se espera que los pacientes o las partes sean financieramente responsables de la cooperación con el Centro Médico en lo que respecta a la aplicación de la cobertura del seguro público disponible </w:t>
      </w:r>
      <w:r w:rsidRPr="00180776">
        <w:rPr>
          <w:rFonts w:ascii="Times New Roman" w:hAnsi="Times New Roman"/>
        </w:rPr>
        <w:lastRenderedPageBreak/>
        <w:t xml:space="preserve">(por ejemplo, Medicaid, Child Health Plus y planes calificados de salud (durante la inscripción abierta) si se consideran potencialmente elegibles antes de que se tomen las decisiones de asistencia financiera. La elegibilidad para recibir asistencia financiera no está supeditada a completar una solicitud de Medicaid ni se demorará una decisión a la espera de una decisión de Medicaid.  </w:t>
      </w: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p>
    <w:p w:rsidR="006501D4" w:rsidRPr="00180776" w:rsidRDefault="006501D4" w:rsidP="00CD355A">
      <w:pPr>
        <w:spacing w:after="0" w:line="240" w:lineRule="auto"/>
        <w:ind w:left="720" w:hanging="720"/>
        <w:rPr>
          <w:rFonts w:ascii="Times New Roman" w:eastAsia="Times New Roman" w:hAnsi="Times New Roman" w:cs="Times New Roman"/>
          <w:szCs w:val="24"/>
        </w:rPr>
      </w:pPr>
      <w:r w:rsidRPr="00180776">
        <w:rPr>
          <w:rFonts w:ascii="Times New Roman" w:hAnsi="Times New Roman"/>
        </w:rPr>
        <w:t xml:space="preserve">8.     </w:t>
      </w:r>
      <w:r w:rsidRPr="00180776">
        <w:tab/>
      </w:r>
      <w:r w:rsidRPr="00180776">
        <w:rPr>
          <w:rFonts w:ascii="Times New Roman" w:hAnsi="Times New Roman"/>
        </w:rPr>
        <w:t xml:space="preserve">Se utilizará el ingreso bruto vinculado con las pautas publicadas de ingresos del Nivel Federal de Pobreza (FPL, </w:t>
      </w:r>
      <w:r w:rsidRPr="00180776">
        <w:rPr>
          <w:rFonts w:ascii="Times New Roman" w:hAnsi="Times New Roman"/>
          <w:i/>
        </w:rPr>
        <w:t>Federal Poverty Level</w:t>
      </w:r>
      <w:r w:rsidRPr="00180776">
        <w:rPr>
          <w:rFonts w:ascii="Times New Roman" w:hAnsi="Times New Roman"/>
        </w:rPr>
        <w:t>) acorde al tamaño de la familia para determinar la elegibilidad para recibir asistencia finan</w:t>
      </w:r>
      <w:r w:rsidR="00CD355A" w:rsidRPr="00180776">
        <w:rPr>
          <w:rFonts w:ascii="Times New Roman" w:hAnsi="Times New Roman"/>
        </w:rPr>
        <w:t xml:space="preserve">ciera. Las decisiones se toman </w:t>
      </w:r>
      <w:r w:rsidRPr="00180776">
        <w:rPr>
          <w:rFonts w:ascii="Times New Roman" w:hAnsi="Times New Roman"/>
        </w:rPr>
        <w:t>solo en fu</w:t>
      </w:r>
      <w:r w:rsidR="00CD355A" w:rsidRPr="00180776">
        <w:rPr>
          <w:rFonts w:ascii="Times New Roman" w:hAnsi="Times New Roman"/>
        </w:rPr>
        <w:t xml:space="preserve">nción de los ingresos anuales. </w:t>
      </w:r>
      <w:r w:rsidRPr="00180776">
        <w:rPr>
          <w:rFonts w:ascii="Times New Roman" w:hAnsi="Times New Roman"/>
        </w:rPr>
        <w:t>Los activos no se toman en cuenta.</w:t>
      </w:r>
    </w:p>
    <w:p w:rsidR="00CC5E31" w:rsidRPr="00180776" w:rsidRDefault="00CC5E31" w:rsidP="006501D4">
      <w:pPr>
        <w:spacing w:after="0" w:line="240" w:lineRule="auto"/>
        <w:rPr>
          <w:rFonts w:ascii="Times New Roman" w:eastAsia="Times New Roman" w:hAnsi="Times New Roman" w:cs="Times New Roman"/>
          <w:szCs w:val="24"/>
        </w:rPr>
      </w:pPr>
    </w:p>
    <w:p w:rsidR="00CC5E31" w:rsidRPr="00180776" w:rsidRDefault="00CC5E31" w:rsidP="006501D4">
      <w:pPr>
        <w:spacing w:after="0" w:line="240" w:lineRule="auto"/>
        <w:rPr>
          <w:rFonts w:ascii="Times New Roman" w:eastAsia="Times New Roman" w:hAnsi="Times New Roman" w:cs="Times New Roman"/>
          <w:szCs w:val="24"/>
        </w:rPr>
      </w:pPr>
    </w:p>
    <w:p w:rsidR="006501D4" w:rsidRPr="00180776" w:rsidRDefault="006501D4" w:rsidP="006501D4">
      <w:pPr>
        <w:spacing w:after="0" w:line="240" w:lineRule="auto"/>
        <w:rPr>
          <w:rFonts w:ascii="Times New Roman" w:eastAsia="Times New Roman" w:hAnsi="Times New Roman" w:cs="Times New Roman"/>
          <w:szCs w:val="24"/>
        </w:rPr>
      </w:pPr>
    </w:p>
    <w:p w:rsidR="00AE004A" w:rsidRPr="00180776" w:rsidRDefault="006501D4" w:rsidP="006501D4">
      <w:pPr>
        <w:spacing w:after="0" w:line="240" w:lineRule="auto"/>
        <w:rPr>
          <w:rFonts w:ascii="Times New Roman" w:hAnsi="Times New Roman"/>
        </w:rPr>
      </w:pPr>
      <w:r w:rsidRPr="00180776">
        <w:rPr>
          <w:rFonts w:ascii="Times New Roman" w:hAnsi="Times New Roman"/>
        </w:rPr>
        <w:t>9.</w:t>
      </w:r>
      <w:r w:rsidRPr="00180776">
        <w:tab/>
      </w:r>
      <w:r w:rsidRPr="00180776">
        <w:rPr>
          <w:rFonts w:ascii="Times New Roman" w:hAnsi="Times New Roman"/>
        </w:rPr>
        <w:t>El Centro Médico verifica</w:t>
      </w:r>
      <w:r w:rsidR="00CD355A" w:rsidRPr="00180776">
        <w:rPr>
          <w:rFonts w:ascii="Times New Roman" w:hAnsi="Times New Roman"/>
        </w:rPr>
        <w:t>rá el nivel actual de ingresos.</w:t>
      </w:r>
      <w:r w:rsidRPr="00180776">
        <w:rPr>
          <w:rFonts w:ascii="Times New Roman" w:hAnsi="Times New Roman"/>
        </w:rPr>
        <w:t xml:space="preserve"> La prueba aceptable de ingresos es </w:t>
      </w:r>
      <w:r w:rsidR="00AE004A" w:rsidRPr="00180776">
        <w:rPr>
          <w:rFonts w:ascii="Times New Roman" w:hAnsi="Times New Roman"/>
        </w:rPr>
        <w:t>la</w:t>
      </w:r>
    </w:p>
    <w:p w:rsidR="006501D4" w:rsidRPr="00180776" w:rsidRDefault="00AE004A" w:rsidP="006501D4">
      <w:pPr>
        <w:spacing w:after="0" w:line="240" w:lineRule="auto"/>
        <w:rPr>
          <w:rFonts w:ascii="Times New Roman" w:eastAsia="Times New Roman" w:hAnsi="Times New Roman" w:cs="Times New Roman"/>
          <w:szCs w:val="24"/>
        </w:rPr>
      </w:pPr>
      <w:r w:rsidRPr="00180776">
        <w:rPr>
          <w:rFonts w:ascii="Times New Roman" w:hAnsi="Times New Roman"/>
        </w:rPr>
        <w:t xml:space="preserve">             </w:t>
      </w:r>
      <w:r w:rsidR="006501D4" w:rsidRPr="00180776">
        <w:rPr>
          <w:rFonts w:ascii="Times New Roman" w:hAnsi="Times New Roman"/>
        </w:rPr>
        <w:t>siguiente:</w:t>
      </w:r>
    </w:p>
    <w:p w:rsidR="000F4193" w:rsidRPr="00180776" w:rsidRDefault="000F4193" w:rsidP="006501D4">
      <w:pPr>
        <w:spacing w:after="0" w:line="240" w:lineRule="auto"/>
        <w:rPr>
          <w:rFonts w:ascii="Times New Roman" w:eastAsia="Times New Roman" w:hAnsi="Times New Roman" w:cs="Times New Roman"/>
          <w:b/>
          <w:szCs w:val="24"/>
        </w:rPr>
      </w:pPr>
    </w:p>
    <w:p w:rsidR="006501D4" w:rsidRPr="00180776" w:rsidRDefault="006501D4" w:rsidP="006501D4">
      <w:pPr>
        <w:numPr>
          <w:ilvl w:val="0"/>
          <w:numId w:val="12"/>
        </w:numPr>
        <w:spacing w:after="0" w:line="240" w:lineRule="auto"/>
        <w:rPr>
          <w:rFonts w:ascii="Times New Roman" w:eastAsia="Times New Roman" w:hAnsi="Times New Roman" w:cs="Times New Roman"/>
          <w:szCs w:val="24"/>
        </w:rPr>
      </w:pPr>
      <w:r w:rsidRPr="00180776">
        <w:rPr>
          <w:rFonts w:ascii="Times New Roman" w:hAnsi="Times New Roman"/>
        </w:rPr>
        <w:t>Declaración de desempleo</w:t>
      </w:r>
    </w:p>
    <w:p w:rsidR="006501D4" w:rsidRPr="00180776" w:rsidRDefault="006501D4" w:rsidP="006501D4">
      <w:pPr>
        <w:numPr>
          <w:ilvl w:val="0"/>
          <w:numId w:val="12"/>
        </w:numPr>
        <w:spacing w:after="0" w:line="240" w:lineRule="auto"/>
        <w:rPr>
          <w:rFonts w:ascii="Times New Roman" w:eastAsia="Times New Roman" w:hAnsi="Times New Roman" w:cs="Times New Roman"/>
          <w:szCs w:val="24"/>
        </w:rPr>
      </w:pPr>
      <w:r w:rsidRPr="00180776">
        <w:rPr>
          <w:rFonts w:ascii="Times New Roman" w:hAnsi="Times New Roman"/>
        </w:rPr>
        <w:t>Carta de asignación de pensión/seguro social</w:t>
      </w:r>
    </w:p>
    <w:p w:rsidR="006501D4" w:rsidRPr="00180776" w:rsidRDefault="006501D4" w:rsidP="006501D4">
      <w:pPr>
        <w:numPr>
          <w:ilvl w:val="0"/>
          <w:numId w:val="12"/>
        </w:numPr>
        <w:spacing w:after="0" w:line="240" w:lineRule="auto"/>
        <w:rPr>
          <w:rFonts w:ascii="Times New Roman" w:eastAsia="Times New Roman" w:hAnsi="Times New Roman" w:cs="Times New Roman"/>
          <w:szCs w:val="24"/>
        </w:rPr>
      </w:pPr>
      <w:r w:rsidRPr="00180776">
        <w:rPr>
          <w:rFonts w:ascii="Times New Roman" w:hAnsi="Times New Roman"/>
        </w:rPr>
        <w:t>Recibos de sueldo/Carta de verificación de empleo</w:t>
      </w:r>
    </w:p>
    <w:p w:rsidR="006501D4" w:rsidRPr="00180776" w:rsidRDefault="006501D4" w:rsidP="006501D4">
      <w:pPr>
        <w:numPr>
          <w:ilvl w:val="0"/>
          <w:numId w:val="12"/>
        </w:numPr>
        <w:spacing w:after="0" w:line="240" w:lineRule="auto"/>
        <w:rPr>
          <w:rFonts w:ascii="Times New Roman" w:eastAsia="Times New Roman" w:hAnsi="Times New Roman" w:cs="Times New Roman"/>
          <w:szCs w:val="24"/>
        </w:rPr>
      </w:pPr>
      <w:r w:rsidRPr="00180776">
        <w:rPr>
          <w:rFonts w:ascii="Times New Roman" w:hAnsi="Times New Roman"/>
        </w:rPr>
        <w:t>Carta de apoyo</w:t>
      </w:r>
    </w:p>
    <w:p w:rsidR="006501D4" w:rsidRPr="00180776" w:rsidRDefault="006501D4" w:rsidP="006501D4">
      <w:pPr>
        <w:numPr>
          <w:ilvl w:val="0"/>
          <w:numId w:val="12"/>
        </w:numPr>
        <w:spacing w:after="0" w:line="240" w:lineRule="auto"/>
        <w:rPr>
          <w:rFonts w:ascii="Times New Roman" w:eastAsia="Times New Roman" w:hAnsi="Times New Roman" w:cs="Times New Roman"/>
          <w:szCs w:val="24"/>
        </w:rPr>
      </w:pPr>
      <w:r w:rsidRPr="00180776">
        <w:rPr>
          <w:rFonts w:ascii="Times New Roman" w:hAnsi="Times New Roman"/>
        </w:rPr>
        <w:t>Carta de certificación en la que se detallen los ingresos, ayudas o situación financiera actual si no existe ninguna otra prueba de ingreso</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10.</w:t>
      </w:r>
      <w:r w:rsidRPr="00180776">
        <w:tab/>
      </w:r>
      <w:r w:rsidRPr="00180776">
        <w:rPr>
          <w:rFonts w:ascii="Times New Roman" w:hAnsi="Times New Roman"/>
        </w:rPr>
        <w:t xml:space="preserve">El personal de finanzas estará disponible para ayudarlo con las consultas de asistencia financiera.  Se revisarán y se tomarán decisiones sobre las solicitudes de asistencia financiera prontamente y dentro de los 30 días hábiles para los servicios que no sean de emergencia.  Los pacientes tienen 30 días para apelar la decisión inicial de asistencia financiera. Los pacientes recibirán las decisiones de asistencia financiera por correo postal, con una notificación en la parte inferior de la carta de aprobación/denegación en la que se explique cómo apelar esa decisión.  Se les aconseja a los pacientes desestimar cualquier factura que hayan recibido mientras se procesa una solicitud.  Las cuentas de los pacientes que han completado las solicitudes de asistencia financiera no se enviarán a cobranzas mientras las solicitudes se estén procesando. </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11.</w:t>
      </w:r>
      <w:r w:rsidRPr="00180776">
        <w:tab/>
      </w:r>
      <w:r w:rsidRPr="00180776">
        <w:rPr>
          <w:rFonts w:ascii="Times New Roman" w:hAnsi="Times New Roman"/>
        </w:rPr>
        <w:t>El aviso sobre las políticas de asistencia financiera del Centro Médico se comunicará a los pacientes, al personal y a las agencias de servicios comunitarios locales.  La política de ayuda financiera del Centro Médico estará disponible en varios idiomas y para cualquier parte que solicite esa información en los siguientes lugares:</w:t>
      </w:r>
    </w:p>
    <w:p w:rsidR="006501D4" w:rsidRPr="00180776" w:rsidRDefault="006501D4" w:rsidP="006501D4">
      <w:pPr>
        <w:spacing w:after="0" w:line="240" w:lineRule="auto"/>
        <w:ind w:left="1440"/>
        <w:rPr>
          <w:rFonts w:ascii="Times New Roman" w:eastAsia="Times New Roman" w:hAnsi="Times New Roman" w:cs="Times New Roman"/>
          <w:szCs w:val="24"/>
        </w:rPr>
      </w:pPr>
      <w:r w:rsidRPr="00180776">
        <w:rPr>
          <w:rFonts w:ascii="Times New Roman" w:hAnsi="Times New Roman"/>
        </w:rPr>
        <w:t>- Oficinas de admisiones</w:t>
      </w:r>
    </w:p>
    <w:p w:rsidR="006501D4" w:rsidRPr="00180776" w:rsidRDefault="006501D4" w:rsidP="006501D4">
      <w:pPr>
        <w:spacing w:after="0" w:line="240" w:lineRule="auto"/>
        <w:ind w:left="1440"/>
        <w:rPr>
          <w:rFonts w:ascii="Times New Roman" w:eastAsia="Times New Roman" w:hAnsi="Times New Roman" w:cs="Times New Roman"/>
          <w:szCs w:val="24"/>
        </w:rPr>
      </w:pPr>
      <w:r w:rsidRPr="00180776">
        <w:rPr>
          <w:rFonts w:ascii="Times New Roman" w:hAnsi="Times New Roman"/>
        </w:rPr>
        <w:t>- Oficinas de registro de salas de emergencia</w:t>
      </w:r>
    </w:p>
    <w:p w:rsidR="006501D4" w:rsidRPr="00180776" w:rsidRDefault="006501D4" w:rsidP="006501D4">
      <w:pPr>
        <w:spacing w:after="0" w:line="240" w:lineRule="auto"/>
        <w:ind w:left="1440"/>
        <w:rPr>
          <w:rFonts w:ascii="Times New Roman" w:eastAsia="Times New Roman" w:hAnsi="Times New Roman" w:cs="Times New Roman"/>
          <w:szCs w:val="24"/>
          <w:u w:val="single"/>
        </w:rPr>
      </w:pPr>
      <w:r w:rsidRPr="00180776">
        <w:rPr>
          <w:rFonts w:ascii="Times New Roman" w:hAnsi="Times New Roman"/>
        </w:rPr>
        <w:t xml:space="preserve">- </w:t>
      </w:r>
      <w:hyperlink r:id="rId11">
        <w:r w:rsidRPr="00180776">
          <w:rPr>
            <w:rFonts w:ascii="Times New Roman" w:hAnsi="Times New Roman"/>
            <w:color w:val="0000FF"/>
            <w:u w:val="single"/>
          </w:rPr>
          <w:t>http://www.montefiorehealthsystem.org/body.cfm?id=69</w:t>
        </w:r>
      </w:hyperlink>
      <w:r w:rsidRPr="00180776">
        <w:rPr>
          <w:rFonts w:ascii="Times New Roman" w:hAnsi="Times New Roman"/>
          <w:color w:val="0000FF"/>
          <w:u w:val="single"/>
        </w:rPr>
        <w:t xml:space="preserve"> </w:t>
      </w:r>
    </w:p>
    <w:p w:rsidR="006501D4"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rPr>
        <w:t xml:space="preserve">                          - Por correo postal a pedido</w:t>
      </w:r>
    </w:p>
    <w:p w:rsidR="006501D4" w:rsidRPr="00180776" w:rsidRDefault="006501D4" w:rsidP="006501D4">
      <w:pPr>
        <w:spacing w:after="0" w:line="240" w:lineRule="auto"/>
        <w:ind w:left="1440"/>
        <w:rPr>
          <w:rFonts w:ascii="Times New Roman" w:eastAsia="Times New Roman" w:hAnsi="Times New Roman" w:cs="Times New Roman"/>
          <w:szCs w:val="24"/>
        </w:rPr>
      </w:pPr>
      <w:r w:rsidRPr="00180776">
        <w:rPr>
          <w:rFonts w:ascii="Times New Roman" w:hAnsi="Times New Roman"/>
        </w:rPr>
        <w:t>- Contactándose con la oficina de asistencia financiera al 914-361-68</w:t>
      </w:r>
      <w:r w:rsidR="00D7731D" w:rsidRPr="00180776">
        <w:rPr>
          <w:rFonts w:ascii="Times New Roman" w:hAnsi="Times New Roman"/>
        </w:rPr>
        <w:t xml:space="preserve">99 o por correo electrónico a </w:t>
      </w:r>
      <w:hyperlink r:id="rId12">
        <w:r w:rsidR="005230B0" w:rsidRPr="00180776">
          <w:rPr>
            <w:rStyle w:val="Hyperlink"/>
            <w:rFonts w:ascii="Times New Roman" w:hAnsi="Times New Roman"/>
          </w:rPr>
          <w:t>MVFinancialAssistance@montefiore.org</w:t>
        </w:r>
      </w:hyperlink>
      <w:r w:rsidR="005230B0" w:rsidRPr="00180776">
        <w:rPr>
          <w:rFonts w:ascii="Times New Roman" w:hAnsi="Times New Roman"/>
        </w:rPr>
        <w:t xml:space="preserve"> </w:t>
      </w:r>
    </w:p>
    <w:p w:rsidR="005230B0" w:rsidRPr="00180776" w:rsidRDefault="005230B0" w:rsidP="005230B0">
      <w:pPr>
        <w:spacing w:after="100" w:afterAutospacing="1" w:line="240" w:lineRule="auto"/>
        <w:rPr>
          <w:rFonts w:ascii="Times New Roman" w:hAnsi="Times New Roman" w:cs="Times New Roman"/>
        </w:rPr>
      </w:pPr>
      <w:r w:rsidRPr="00180776">
        <w:rPr>
          <w:rFonts w:ascii="Times New Roman" w:hAnsi="Times New Roman"/>
        </w:rPr>
        <w:t xml:space="preserve">             </w:t>
      </w:r>
    </w:p>
    <w:p w:rsidR="006501D4" w:rsidRPr="00180776" w:rsidRDefault="005230B0" w:rsidP="00D7731D">
      <w:pPr>
        <w:spacing w:after="100" w:afterAutospacing="1" w:line="240" w:lineRule="auto"/>
        <w:ind w:left="720"/>
        <w:contextualSpacing/>
        <w:jc w:val="both"/>
        <w:rPr>
          <w:rFonts w:ascii="Times New Roman" w:hAnsi="Times New Roman" w:cs="Times New Roman"/>
        </w:rPr>
      </w:pPr>
      <w:r w:rsidRPr="00180776">
        <w:rPr>
          <w:rFonts w:ascii="Times New Roman" w:hAnsi="Times New Roman"/>
        </w:rPr>
        <w:t>La disponibilidad de asistencia financiera y los números de teléfono de la oficina están impresos en la parte inferior de todas las facturas hospitalarias. También hay carteles publicados en las entradas que aconsejan a los pacientes acerca de los lugares en los q</w:t>
      </w:r>
      <w:r w:rsidR="00D7731D" w:rsidRPr="00180776">
        <w:rPr>
          <w:rFonts w:ascii="Times New Roman" w:hAnsi="Times New Roman"/>
        </w:rPr>
        <w:t xml:space="preserve">ue deben consultar para recibir </w:t>
      </w:r>
      <w:r w:rsidRPr="00180776">
        <w:rPr>
          <w:rFonts w:ascii="Times New Roman" w:hAnsi="Times New Roman"/>
        </w:rPr>
        <w:t xml:space="preserve">asistencia financiera. </w:t>
      </w:r>
    </w:p>
    <w:p w:rsidR="005230B0"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rPr>
        <w:t xml:space="preserve">             </w:t>
      </w:r>
    </w:p>
    <w:p w:rsidR="006501D4" w:rsidRPr="00180776" w:rsidRDefault="00D7731D" w:rsidP="00D7731D">
      <w:pPr>
        <w:spacing w:after="0" w:line="240" w:lineRule="auto"/>
        <w:ind w:left="720"/>
        <w:rPr>
          <w:rFonts w:ascii="Times New Roman" w:eastAsia="Times New Roman" w:hAnsi="Times New Roman" w:cs="Times New Roman"/>
          <w:szCs w:val="24"/>
        </w:rPr>
      </w:pPr>
      <w:r w:rsidRPr="00180776">
        <w:rPr>
          <w:rFonts w:ascii="Times New Roman" w:hAnsi="Times New Roman"/>
        </w:rPr>
        <w:t>T</w:t>
      </w:r>
      <w:r w:rsidR="005230B0" w:rsidRPr="00180776">
        <w:rPr>
          <w:rFonts w:ascii="Times New Roman" w:hAnsi="Times New Roman"/>
        </w:rPr>
        <w:t xml:space="preserve">odo el personal de admisión, de registro y de la agencia de cobranzas está capacitado en lo que respecta a la política </w:t>
      </w:r>
      <w:r w:rsidR="006501D4" w:rsidRPr="00180776">
        <w:rPr>
          <w:rFonts w:ascii="Times New Roman" w:hAnsi="Times New Roman"/>
        </w:rPr>
        <w:t xml:space="preserve">de asistencia financiera del Centro Médico.  Se ofrece un servicio interno en todas las áreas que consta de instrucciones sobre dónde se debe enviar a los pacientes que necesitan asistencia. </w:t>
      </w:r>
    </w:p>
    <w:p w:rsidR="006501D4" w:rsidRPr="00180776" w:rsidRDefault="006501D4" w:rsidP="006501D4">
      <w:pPr>
        <w:spacing w:after="0" w:line="240" w:lineRule="auto"/>
        <w:rPr>
          <w:rFonts w:ascii="Times New Roman" w:eastAsia="Times New Roman" w:hAnsi="Times New Roman" w:cs="Times New Roman"/>
          <w:szCs w:val="24"/>
        </w:rPr>
      </w:pPr>
    </w:p>
    <w:p w:rsidR="006501D4" w:rsidRPr="00180776" w:rsidRDefault="006501D4" w:rsidP="006501D4">
      <w:pPr>
        <w:spacing w:after="0" w:line="240" w:lineRule="auto"/>
        <w:rPr>
          <w:rFonts w:ascii="Times New Roman" w:eastAsia="Times New Roman" w:hAnsi="Times New Roman" w:cs="Times New Roman"/>
          <w:szCs w:val="24"/>
        </w:rPr>
      </w:pPr>
      <w:r w:rsidRPr="00180776">
        <w:rPr>
          <w:rFonts w:ascii="Times New Roman" w:hAnsi="Times New Roman"/>
        </w:rPr>
        <w:lastRenderedPageBreak/>
        <w:t xml:space="preserve">12.      </w:t>
      </w:r>
      <w:r w:rsidRPr="00180776">
        <w:tab/>
      </w:r>
      <w:r w:rsidRPr="00180776">
        <w:rPr>
          <w:rFonts w:ascii="Times New Roman" w:hAnsi="Times New Roman"/>
        </w:rPr>
        <w:t>Los pacientes pueden apelar las decisiones de asistencia financie</w:t>
      </w:r>
      <w:r w:rsidR="00D7731D" w:rsidRPr="00180776">
        <w:rPr>
          <w:rFonts w:ascii="Times New Roman" w:hAnsi="Times New Roman"/>
        </w:rPr>
        <w:t xml:space="preserve">ra del Centro Médico si se les </w:t>
      </w:r>
    </w:p>
    <w:p w:rsidR="006501D4" w:rsidRPr="00180776" w:rsidRDefault="006501D4" w:rsidP="00D7731D">
      <w:pPr>
        <w:spacing w:after="0" w:line="240" w:lineRule="auto"/>
        <w:ind w:left="720"/>
        <w:rPr>
          <w:rFonts w:ascii="Times New Roman" w:eastAsia="Times New Roman" w:hAnsi="Times New Roman" w:cs="Times New Roman"/>
          <w:szCs w:val="24"/>
        </w:rPr>
      </w:pPr>
      <w:r w:rsidRPr="00180776">
        <w:rPr>
          <w:rFonts w:ascii="Times New Roman" w:hAnsi="Times New Roman"/>
        </w:rPr>
        <w:t>niega la asistencia financiera o consideran qu</w:t>
      </w:r>
      <w:r w:rsidR="00AE004A" w:rsidRPr="00180776">
        <w:rPr>
          <w:rFonts w:ascii="Times New Roman" w:hAnsi="Times New Roman"/>
        </w:rPr>
        <w:t xml:space="preserve">e la decisión es desfavorable. </w:t>
      </w:r>
      <w:r w:rsidRPr="00180776">
        <w:rPr>
          <w:rFonts w:ascii="Times New Roman" w:hAnsi="Times New Roman"/>
        </w:rPr>
        <w:t xml:space="preserve">Los pacientes que apelen las decisiones de asistencia financiera deben proporcionar evidencia de los ingresos y los gastos actuales.  Los pacientes tienen 30 días para completar las solicitudes de apelación y se les </w:t>
      </w:r>
    </w:p>
    <w:p w:rsidR="006501D4" w:rsidRPr="00180776" w:rsidRDefault="006501D4" w:rsidP="00D7731D">
      <w:pPr>
        <w:spacing w:after="0" w:line="240" w:lineRule="auto"/>
        <w:ind w:left="720"/>
        <w:rPr>
          <w:rFonts w:ascii="Times New Roman" w:eastAsia="Times New Roman" w:hAnsi="Times New Roman" w:cs="Times New Roman"/>
          <w:szCs w:val="24"/>
        </w:rPr>
      </w:pPr>
      <w:r w:rsidRPr="00180776">
        <w:rPr>
          <w:rFonts w:ascii="Times New Roman" w:hAnsi="Times New Roman"/>
        </w:rPr>
        <w:t xml:space="preserve">notificarán las decisiones a través de un correo electrónico dentro de los 30 días siguientes a la presentación de las solicitudes de apelación.       </w:t>
      </w:r>
    </w:p>
    <w:p w:rsidR="006501D4" w:rsidRPr="00180776" w:rsidRDefault="006501D4" w:rsidP="00D7731D">
      <w:pPr>
        <w:spacing w:after="0" w:line="240" w:lineRule="auto"/>
        <w:ind w:left="720"/>
        <w:rPr>
          <w:rFonts w:ascii="Times New Roman" w:eastAsia="Times New Roman" w:hAnsi="Times New Roman" w:cs="Times New Roman"/>
          <w:szCs w:val="24"/>
        </w:rPr>
      </w:pPr>
      <w:r w:rsidRPr="00180776">
        <w:rPr>
          <w:rFonts w:ascii="Times New Roman" w:hAnsi="Times New Roman"/>
        </w:rPr>
        <w:t>En función de la información que se proporcionó, se pueden evaluar</w:t>
      </w:r>
      <w:r w:rsidR="00D7731D" w:rsidRPr="00180776">
        <w:rPr>
          <w:rFonts w:ascii="Times New Roman" w:hAnsi="Times New Roman"/>
        </w:rPr>
        <w:t xml:space="preserve"> </w:t>
      </w:r>
      <w:r w:rsidRPr="00180776">
        <w:rPr>
          <w:rFonts w:ascii="Times New Roman" w:hAnsi="Times New Roman"/>
        </w:rPr>
        <w:t>nuevas reducciones o planes de pago extendidos para los pacientes.</w:t>
      </w:r>
    </w:p>
    <w:p w:rsidR="006501D4" w:rsidRPr="00180776" w:rsidRDefault="006501D4" w:rsidP="00817A9F">
      <w:pPr>
        <w:tabs>
          <w:tab w:val="left" w:pos="720"/>
        </w:tabs>
        <w:spacing w:after="0" w:line="240" w:lineRule="auto"/>
        <w:ind w:left="720" w:hanging="720"/>
        <w:rPr>
          <w:rFonts w:ascii="Times New Roman" w:eastAsia="Times New Roman" w:hAnsi="Times New Roman" w:cs="Times New Roman"/>
          <w:szCs w:val="24"/>
        </w:rPr>
      </w:pPr>
      <w:r w:rsidRPr="00180776">
        <w:tab/>
      </w:r>
      <w:r w:rsidRPr="00180776">
        <w:tab/>
      </w:r>
    </w:p>
    <w:p w:rsidR="006501D4" w:rsidRPr="00180776" w:rsidRDefault="006501D4" w:rsidP="00D7731D">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 xml:space="preserve">13.      </w:t>
      </w:r>
      <w:r w:rsidRPr="00180776">
        <w:tab/>
      </w:r>
      <w:r w:rsidRPr="00180776">
        <w:rPr>
          <w:rFonts w:ascii="Times New Roman" w:hAnsi="Times New Roman"/>
        </w:rPr>
        <w:t xml:space="preserve">Se les ofrecen planes de pago a los pacientes si no pueden hacer pagos totales reducidos. Los pagos mensuales no deben exceder el 10 % del ingreso mensual de un paciente. </w:t>
      </w:r>
    </w:p>
    <w:p w:rsidR="006501D4" w:rsidRPr="00180776" w:rsidRDefault="006501D4" w:rsidP="00D7731D">
      <w:pPr>
        <w:tabs>
          <w:tab w:val="left" w:pos="720"/>
        </w:tabs>
        <w:spacing w:after="0" w:line="240" w:lineRule="auto"/>
        <w:ind w:left="720"/>
        <w:rPr>
          <w:rFonts w:ascii="Times New Roman" w:eastAsia="Times New Roman" w:hAnsi="Times New Roman" w:cs="Times New Roman"/>
          <w:szCs w:val="24"/>
        </w:rPr>
      </w:pPr>
      <w:r w:rsidRPr="00180776">
        <w:rPr>
          <w:rFonts w:ascii="Times New Roman" w:hAnsi="Times New Roman"/>
        </w:rPr>
        <w:t>Los planes de pago extendidos también se ofrecen a travé</w:t>
      </w:r>
      <w:r w:rsidR="00D7731D" w:rsidRPr="00180776">
        <w:rPr>
          <w:rFonts w:ascii="Times New Roman" w:hAnsi="Times New Roman"/>
        </w:rPr>
        <w:t>s del proceso de apelación.</w:t>
      </w:r>
      <w:r w:rsidRPr="00180776">
        <w:rPr>
          <w:rFonts w:ascii="Times New Roman" w:hAnsi="Times New Roman"/>
        </w:rPr>
        <w:t xml:space="preserve"> Si un </w:t>
      </w:r>
      <w:r w:rsidR="00D7731D" w:rsidRPr="00180776">
        <w:rPr>
          <w:rFonts w:ascii="Times New Roman" w:hAnsi="Times New Roman"/>
        </w:rPr>
        <w:t xml:space="preserve">paciente </w:t>
      </w:r>
      <w:r w:rsidRPr="00180776">
        <w:rPr>
          <w:rFonts w:ascii="Times New Roman" w:hAnsi="Times New Roman"/>
        </w:rPr>
        <w:t>hace un depósito, se incluye como parte de pa</w:t>
      </w:r>
      <w:r w:rsidR="00D7731D" w:rsidRPr="00180776">
        <w:rPr>
          <w:rFonts w:ascii="Times New Roman" w:hAnsi="Times New Roman"/>
        </w:rPr>
        <w:t>go del saldo de la asistencia financiera.</w:t>
      </w:r>
      <w:r w:rsidRPr="00180776">
        <w:rPr>
          <w:rFonts w:ascii="Times New Roman" w:hAnsi="Times New Roman"/>
        </w:rPr>
        <w:t xml:space="preserve"> El Centro Médico no cobra intereses sobre los saldos de los pacientes.</w:t>
      </w:r>
    </w:p>
    <w:p w:rsidR="00817A9F" w:rsidRPr="00180776" w:rsidRDefault="00817A9F" w:rsidP="006501D4">
      <w:pPr>
        <w:tabs>
          <w:tab w:val="left" w:pos="720"/>
        </w:tabs>
        <w:spacing w:after="0" w:line="240" w:lineRule="auto"/>
        <w:rPr>
          <w:rFonts w:ascii="Times New Roman" w:eastAsia="Times New Roman" w:hAnsi="Times New Roman" w:cs="Times New Roman"/>
          <w:szCs w:val="24"/>
        </w:rPr>
      </w:pPr>
    </w:p>
    <w:p w:rsidR="005230B0" w:rsidRPr="00180776" w:rsidRDefault="006501D4" w:rsidP="00D7731D">
      <w:pPr>
        <w:tabs>
          <w:tab w:val="left" w:pos="720"/>
        </w:tabs>
        <w:spacing w:after="0" w:line="240" w:lineRule="auto"/>
        <w:ind w:left="720" w:hanging="720"/>
        <w:rPr>
          <w:rFonts w:ascii="Times New Roman" w:eastAsia="Times New Roman" w:hAnsi="Times New Roman" w:cs="Times New Roman"/>
        </w:rPr>
      </w:pPr>
      <w:r w:rsidRPr="00180776">
        <w:rPr>
          <w:rFonts w:ascii="Times New Roman" w:hAnsi="Times New Roman"/>
        </w:rPr>
        <w:t xml:space="preserve"> 14.</w:t>
      </w:r>
      <w:r w:rsidRPr="00180776">
        <w:tab/>
      </w:r>
      <w:r w:rsidRPr="00180776">
        <w:rPr>
          <w:rFonts w:ascii="Times New Roman" w:hAnsi="Times New Roman"/>
        </w:rPr>
        <w:t xml:space="preserve">El Centro Médico mantiene políticas de facturación y cobro por separado. </w:t>
      </w:r>
      <w:r w:rsidRPr="00180776">
        <w:rPr>
          <w:rFonts w:ascii="Times New Roman" w:hAnsi="Times New Roman"/>
          <w:sz w:val="24"/>
        </w:rPr>
        <w:t xml:space="preserve">Se pueden encontrar en </w:t>
      </w:r>
      <w:r w:rsidR="005230B0" w:rsidRPr="00180776">
        <w:rPr>
          <w:rFonts w:ascii="Times New Roman" w:hAnsi="Times New Roman"/>
          <w:sz w:val="24"/>
        </w:rPr>
        <w:t xml:space="preserve">el sitio web del Centro Médico: </w:t>
      </w:r>
      <w:hyperlink r:id="rId13">
        <w:r w:rsidR="005230B0" w:rsidRPr="00180776">
          <w:rPr>
            <w:rFonts w:ascii="Times New Roman" w:hAnsi="Times New Roman"/>
            <w:color w:val="0000FF"/>
            <w:u w:val="single"/>
          </w:rPr>
          <w:t>http://www.montefiorehealthsystem.org/body.cfm?id=69</w:t>
        </w:r>
      </w:hyperlink>
      <w:r w:rsidR="005230B0" w:rsidRPr="00180776">
        <w:rPr>
          <w:rFonts w:ascii="Times New Roman" w:hAnsi="Times New Roman"/>
          <w:u w:val="single"/>
        </w:rPr>
        <w:t xml:space="preserve"> </w:t>
      </w:r>
      <w:r w:rsidR="005230B0" w:rsidRPr="00180776">
        <w:rPr>
          <w:rFonts w:ascii="Times New Roman" w:hAnsi="Times New Roman"/>
        </w:rPr>
        <w:t xml:space="preserve">o </w:t>
      </w:r>
    </w:p>
    <w:p w:rsidR="006501D4" w:rsidRPr="00180776" w:rsidRDefault="005230B0" w:rsidP="006501D4">
      <w:pPr>
        <w:tabs>
          <w:tab w:val="left" w:pos="720"/>
        </w:tabs>
        <w:spacing w:after="0" w:line="240" w:lineRule="auto"/>
        <w:rPr>
          <w:rFonts w:ascii="Times New Roman" w:eastAsia="Times New Roman" w:hAnsi="Times New Roman" w:cs="Times New Roman"/>
          <w:szCs w:val="24"/>
        </w:rPr>
      </w:pPr>
      <w:r w:rsidRPr="00180776">
        <w:rPr>
          <w:rFonts w:ascii="Times New Roman" w:hAnsi="Times New Roman"/>
        </w:rPr>
        <w:t xml:space="preserve">             se puede solicitar una copia impresa contactándose con la Oficina de Asistencia Financiera. </w:t>
      </w:r>
    </w:p>
    <w:p w:rsidR="006501D4" w:rsidRPr="00180776" w:rsidRDefault="006501D4" w:rsidP="006501D4">
      <w:pPr>
        <w:tabs>
          <w:tab w:val="left" w:pos="720"/>
        </w:tabs>
        <w:spacing w:after="0" w:line="240" w:lineRule="auto"/>
        <w:rPr>
          <w:rFonts w:ascii="Times New Roman" w:eastAsia="Times New Roman" w:hAnsi="Times New Roman" w:cs="Times New Roman"/>
          <w:szCs w:val="24"/>
        </w:rPr>
      </w:pPr>
    </w:p>
    <w:p w:rsidR="006501D4" w:rsidRPr="00180776" w:rsidRDefault="006501D4" w:rsidP="00CD355A">
      <w:pPr>
        <w:tabs>
          <w:tab w:val="left" w:pos="720"/>
        </w:tabs>
        <w:spacing w:after="0" w:line="240" w:lineRule="auto"/>
        <w:ind w:left="720" w:hanging="720"/>
        <w:rPr>
          <w:rFonts w:ascii="Times New Roman" w:eastAsia="Times New Roman" w:hAnsi="Times New Roman" w:cs="Times New Roman"/>
          <w:szCs w:val="24"/>
        </w:rPr>
      </w:pPr>
      <w:r w:rsidRPr="00180776">
        <w:rPr>
          <w:rFonts w:ascii="Times New Roman" w:hAnsi="Times New Roman"/>
        </w:rPr>
        <w:t xml:space="preserve">15.      </w:t>
      </w:r>
      <w:r w:rsidRPr="00180776">
        <w:tab/>
      </w:r>
      <w:r w:rsidRPr="00180776">
        <w:rPr>
          <w:rFonts w:ascii="Times New Roman" w:hAnsi="Times New Roman"/>
        </w:rPr>
        <w:t xml:space="preserve">Los pacientes recibirán un aviso 30 días antes de </w:t>
      </w:r>
      <w:r w:rsidR="00CD355A" w:rsidRPr="00180776">
        <w:rPr>
          <w:rFonts w:ascii="Times New Roman" w:hAnsi="Times New Roman"/>
        </w:rPr>
        <w:t>remitir cualquier cuenta a una</w:t>
      </w:r>
      <w:r w:rsidRPr="00180776">
        <w:rPr>
          <w:rFonts w:ascii="Times New Roman" w:hAnsi="Times New Roman"/>
        </w:rPr>
        <w:t xml:space="preserve"> agencia de cobranzas en caso de no solicitar o completar una solicitud de ayuda financiera o no realizar los pagos de un saldo de asistencia financiera.</w:t>
      </w:r>
    </w:p>
    <w:p w:rsidR="006501D4" w:rsidRPr="00180776" w:rsidRDefault="006501D4" w:rsidP="006501D4">
      <w:pPr>
        <w:tabs>
          <w:tab w:val="left" w:pos="720"/>
        </w:tabs>
        <w:spacing w:after="0" w:line="240" w:lineRule="auto"/>
        <w:rPr>
          <w:rFonts w:ascii="Times New Roman" w:eastAsia="Times New Roman" w:hAnsi="Times New Roman" w:cs="Times New Roman"/>
        </w:rPr>
      </w:pPr>
    </w:p>
    <w:p w:rsidR="006501D4" w:rsidRPr="00180776" w:rsidRDefault="006501D4" w:rsidP="006501D4">
      <w:pPr>
        <w:spacing w:after="120" w:line="240" w:lineRule="auto"/>
        <w:ind w:right="1685"/>
        <w:rPr>
          <w:rFonts w:ascii="Times New Roman" w:eastAsia="Times New Roman" w:hAnsi="Times New Roman" w:cs="Times New Roman"/>
          <w:b/>
          <w:u w:val="thick" w:color="000000"/>
        </w:rPr>
      </w:pPr>
      <w:r w:rsidRPr="00180776">
        <w:rPr>
          <w:rFonts w:ascii="Times New Roman" w:hAnsi="Times New Roman"/>
        </w:rPr>
        <w:t xml:space="preserve">16.       </w:t>
      </w:r>
      <w:r w:rsidRPr="00180776">
        <w:rPr>
          <w:rFonts w:ascii="Times New Roman" w:hAnsi="Times New Roman"/>
          <w:b/>
          <w:u w:val="thick" w:color="000000"/>
        </w:rPr>
        <w:t xml:space="preserve">Criterios de la agencia de cobranzas primaria:                                              </w:t>
      </w:r>
    </w:p>
    <w:p w:rsidR="001A126E" w:rsidRPr="00180776" w:rsidRDefault="00206EFD" w:rsidP="00D7731D">
      <w:pPr>
        <w:spacing w:after="0"/>
        <w:ind w:left="645" w:right="4"/>
        <w:rPr>
          <w:rFonts w:ascii="Times New Roman" w:hAnsi="Times New Roman" w:cs="Times New Roman"/>
        </w:rPr>
      </w:pPr>
      <w:r w:rsidRPr="00180776">
        <w:rPr>
          <w:rFonts w:ascii="Times New Roman" w:hAnsi="Times New Roman"/>
        </w:rPr>
        <w:t>Una vez que una cuenta se deriva a la agencia de</w:t>
      </w:r>
      <w:r w:rsidR="00D7731D" w:rsidRPr="00180776">
        <w:rPr>
          <w:rFonts w:ascii="Times New Roman" w:hAnsi="Times New Roman"/>
        </w:rPr>
        <w:t xml:space="preserve"> cobranzas primaria, se llevar a cabo </w:t>
      </w:r>
      <w:r w:rsidRPr="00180776">
        <w:rPr>
          <w:rFonts w:ascii="Times New Roman" w:hAnsi="Times New Roman"/>
        </w:rPr>
        <w:t>su proceso interno en busca de seguro de Medicaid activo; se verificarán la dirección y el número de teléfono, y la potencial elegibilidad para recibi</w:t>
      </w:r>
      <w:r w:rsidR="00D7731D" w:rsidRPr="00180776">
        <w:rPr>
          <w:rFonts w:ascii="Times New Roman" w:hAnsi="Times New Roman"/>
        </w:rPr>
        <w:t>r cuidados caritativos si esto</w:t>
      </w:r>
      <w:r w:rsidRPr="00180776">
        <w:rPr>
          <w:rFonts w:ascii="Times New Roman" w:hAnsi="Times New Roman"/>
        </w:rPr>
        <w:t xml:space="preserve"> ya no se evaluó antes; y se realizará un proceso de devolución de correo. Al término de este proceso, se </w:t>
      </w:r>
      <w:r w:rsidR="00D7731D" w:rsidRPr="00180776">
        <w:rPr>
          <w:rFonts w:ascii="Times New Roman" w:hAnsi="Times New Roman"/>
        </w:rPr>
        <w:t>realizarán los s</w:t>
      </w:r>
      <w:r w:rsidRPr="00180776">
        <w:rPr>
          <w:rFonts w:ascii="Times New Roman" w:hAnsi="Times New Roman"/>
        </w:rPr>
        <w:t>iguientes esfuerzos de cobranzas:</w:t>
      </w:r>
    </w:p>
    <w:p w:rsidR="001A126E" w:rsidRPr="00180776" w:rsidRDefault="006501D4" w:rsidP="007F5668">
      <w:pPr>
        <w:pStyle w:val="ListParagraph"/>
        <w:numPr>
          <w:ilvl w:val="0"/>
          <w:numId w:val="24"/>
        </w:numPr>
        <w:ind w:right="1685"/>
        <w:jc w:val="both"/>
        <w:rPr>
          <w:sz w:val="22"/>
          <w:szCs w:val="22"/>
        </w:rPr>
      </w:pPr>
      <w:r w:rsidRPr="00180776">
        <w:rPr>
          <w:sz w:val="22"/>
        </w:rPr>
        <w:t>Se enviarán al menos entre 1 y 4 cartas.</w:t>
      </w:r>
    </w:p>
    <w:p w:rsidR="006501D4" w:rsidRPr="00180776" w:rsidRDefault="006501D4" w:rsidP="007F5668">
      <w:pPr>
        <w:pStyle w:val="ListParagraph"/>
        <w:numPr>
          <w:ilvl w:val="0"/>
          <w:numId w:val="24"/>
        </w:numPr>
        <w:ind w:right="1685"/>
        <w:jc w:val="both"/>
        <w:rPr>
          <w:rFonts w:asciiTheme="minorHAnsi" w:eastAsiaTheme="minorHAnsi" w:hAnsiTheme="minorHAnsi" w:cstheme="minorBidi"/>
          <w:sz w:val="22"/>
          <w:szCs w:val="22"/>
        </w:rPr>
      </w:pPr>
      <w:r w:rsidRPr="00180776">
        <w:rPr>
          <w:sz w:val="22"/>
        </w:rPr>
        <w:t>Se realizarán al menos entre 1 y 4 llamadas telefónicas.</w:t>
      </w:r>
    </w:p>
    <w:p w:rsidR="001A126E" w:rsidRPr="00180776" w:rsidRDefault="006501D4" w:rsidP="00D7731D">
      <w:pPr>
        <w:pStyle w:val="ListParagraph"/>
        <w:numPr>
          <w:ilvl w:val="0"/>
          <w:numId w:val="24"/>
        </w:numPr>
        <w:tabs>
          <w:tab w:val="left" w:pos="9072"/>
        </w:tabs>
        <w:spacing w:before="16"/>
        <w:ind w:right="146"/>
        <w:jc w:val="both"/>
        <w:rPr>
          <w:spacing w:val="-18"/>
          <w:sz w:val="22"/>
          <w:szCs w:val="22"/>
        </w:rPr>
      </w:pPr>
      <w:r w:rsidRPr="00180776">
        <w:rPr>
          <w:sz w:val="22"/>
        </w:rPr>
        <w:t>Las cuentas de pacientes fallecidos y en quiebra se devolverán para realizar la cancelación.</w:t>
      </w:r>
    </w:p>
    <w:p w:rsidR="006501D4" w:rsidRPr="00180776" w:rsidRDefault="006501D4" w:rsidP="00D7731D">
      <w:pPr>
        <w:pStyle w:val="ListParagraph"/>
        <w:numPr>
          <w:ilvl w:val="0"/>
          <w:numId w:val="24"/>
        </w:numPr>
        <w:spacing w:before="16"/>
        <w:ind w:right="146"/>
        <w:jc w:val="both"/>
        <w:rPr>
          <w:sz w:val="22"/>
          <w:szCs w:val="22"/>
        </w:rPr>
      </w:pPr>
      <w:r w:rsidRPr="00180776">
        <w:rPr>
          <w:sz w:val="22"/>
        </w:rPr>
        <w:t>Las cuentas con devolución de correo y sin número de teléfono se cerrarán y devolverán a MMC para su derivación a agencias de cobranzas secundarias.</w:t>
      </w:r>
    </w:p>
    <w:p w:rsidR="006501D4" w:rsidRPr="00145A8B" w:rsidRDefault="006501D4" w:rsidP="00D7731D">
      <w:pPr>
        <w:pStyle w:val="ListParagraph"/>
        <w:numPr>
          <w:ilvl w:val="0"/>
          <w:numId w:val="24"/>
        </w:numPr>
        <w:ind w:right="4"/>
        <w:jc w:val="both"/>
        <w:rPr>
          <w:sz w:val="22"/>
          <w:szCs w:val="22"/>
        </w:rPr>
      </w:pPr>
      <w:r w:rsidRPr="00180776">
        <w:rPr>
          <w:sz w:val="22"/>
        </w:rPr>
        <w:t>Las cuentas con cobranzas activas de 180 días a partir de la fecha de derivación se cierran y regresan a MMC para su derivación a agencias de cobranzas secundarias.</w:t>
      </w:r>
    </w:p>
    <w:p w:rsidR="00206EFD" w:rsidRPr="00180776" w:rsidRDefault="00206EFD" w:rsidP="009A2312">
      <w:pPr>
        <w:spacing w:after="0"/>
        <w:ind w:right="1685" w:firstLine="180"/>
        <w:rPr>
          <w:rFonts w:ascii="Times New Roman" w:eastAsia="Times New Roman" w:hAnsi="Times New Roman" w:cs="Times New Roman"/>
          <w:b/>
          <w:u w:val="thick" w:color="000000"/>
        </w:rPr>
      </w:pPr>
      <w:r w:rsidRPr="00180776">
        <w:rPr>
          <w:rFonts w:ascii="Times New Roman" w:hAnsi="Times New Roman"/>
        </w:rPr>
        <w:t xml:space="preserve">          </w:t>
      </w:r>
      <w:r w:rsidRPr="00180776">
        <w:rPr>
          <w:rFonts w:ascii="Times New Roman" w:hAnsi="Times New Roman"/>
          <w:b/>
          <w:u w:val="thick" w:color="000000"/>
        </w:rPr>
        <w:t xml:space="preserve">Criterios de agencias de cobranzas secundarias:                                                          </w:t>
      </w:r>
    </w:p>
    <w:p w:rsidR="00206EFD" w:rsidRPr="00180776" w:rsidRDefault="00206EFD" w:rsidP="00D7731D">
      <w:pPr>
        <w:spacing w:after="0"/>
        <w:ind w:left="720" w:right="4"/>
        <w:rPr>
          <w:rFonts w:ascii="Times New Roman" w:hAnsi="Times New Roman" w:cs="Times New Roman"/>
        </w:rPr>
      </w:pPr>
      <w:r w:rsidRPr="00180776">
        <w:rPr>
          <w:rFonts w:ascii="Times New Roman" w:hAnsi="Times New Roman"/>
        </w:rPr>
        <w:t>Una vez que una cuenta se deriva a la agencia de cobranza</w:t>
      </w:r>
      <w:r w:rsidR="00D7731D" w:rsidRPr="00180776">
        <w:rPr>
          <w:rFonts w:ascii="Times New Roman" w:hAnsi="Times New Roman"/>
        </w:rPr>
        <w:t xml:space="preserve">s primaria, se llevará a cabo </w:t>
      </w:r>
      <w:r w:rsidRPr="00180776">
        <w:rPr>
          <w:rFonts w:ascii="Times New Roman" w:hAnsi="Times New Roman"/>
        </w:rPr>
        <w:t>su proceso interno en busca de seguro de Medicaid activo; se verificarán</w:t>
      </w:r>
      <w:r w:rsidR="00D7731D" w:rsidRPr="00180776">
        <w:rPr>
          <w:rFonts w:ascii="Times New Roman" w:hAnsi="Times New Roman"/>
        </w:rPr>
        <w:t xml:space="preserve"> </w:t>
      </w:r>
      <w:r w:rsidRPr="00180776">
        <w:rPr>
          <w:rFonts w:ascii="Times New Roman" w:hAnsi="Times New Roman"/>
        </w:rPr>
        <w:t>la dirección y el número de teléfono, y la potencial elegibilidad para recibi</w:t>
      </w:r>
      <w:r w:rsidR="00D7731D" w:rsidRPr="00180776">
        <w:rPr>
          <w:rFonts w:ascii="Times New Roman" w:hAnsi="Times New Roman"/>
        </w:rPr>
        <w:t>r cuidados caritativos si esto</w:t>
      </w:r>
      <w:r w:rsidRPr="00180776">
        <w:rPr>
          <w:rFonts w:ascii="Times New Roman" w:hAnsi="Times New Roman"/>
        </w:rPr>
        <w:t xml:space="preserve"> ya no se evaluó antes; y se realizará un proceso de devolución de correo. Al término de este proceso, se</w:t>
      </w:r>
      <w:r w:rsidR="00D7731D" w:rsidRPr="00180776">
        <w:rPr>
          <w:rFonts w:ascii="Times New Roman" w:hAnsi="Times New Roman"/>
        </w:rPr>
        <w:t xml:space="preserve"> </w:t>
      </w:r>
      <w:r w:rsidRPr="00180776">
        <w:rPr>
          <w:rFonts w:ascii="Times New Roman" w:hAnsi="Times New Roman"/>
        </w:rPr>
        <w:t>realizarán los siguientes esfuerzos de cobranzas:</w:t>
      </w:r>
    </w:p>
    <w:p w:rsidR="007F5668" w:rsidRPr="00180776" w:rsidRDefault="006501D4" w:rsidP="007F5668">
      <w:pPr>
        <w:pStyle w:val="ListParagraph"/>
        <w:numPr>
          <w:ilvl w:val="0"/>
          <w:numId w:val="26"/>
        </w:numPr>
        <w:spacing w:after="120"/>
        <w:ind w:right="1685"/>
        <w:contextualSpacing/>
        <w:rPr>
          <w:sz w:val="22"/>
          <w:szCs w:val="22"/>
        </w:rPr>
      </w:pPr>
      <w:r w:rsidRPr="00180776">
        <w:rPr>
          <w:sz w:val="22"/>
        </w:rPr>
        <w:t xml:space="preserve">Se enviarán al menos entre 1 y 4 cartas. </w:t>
      </w:r>
    </w:p>
    <w:p w:rsidR="006501D4" w:rsidRPr="00180776" w:rsidRDefault="006501D4" w:rsidP="007F5668">
      <w:pPr>
        <w:pStyle w:val="ListParagraph"/>
        <w:numPr>
          <w:ilvl w:val="0"/>
          <w:numId w:val="26"/>
        </w:numPr>
        <w:spacing w:after="120"/>
        <w:ind w:right="1685"/>
        <w:contextualSpacing/>
        <w:rPr>
          <w:rFonts w:eastAsiaTheme="minorHAnsi"/>
          <w:sz w:val="22"/>
          <w:szCs w:val="22"/>
        </w:rPr>
      </w:pPr>
      <w:r w:rsidRPr="00180776">
        <w:rPr>
          <w:sz w:val="22"/>
        </w:rPr>
        <w:t>Se realizarán al menos entre 1 y 4 llamadas telefónicas.</w:t>
      </w:r>
    </w:p>
    <w:p w:rsidR="006501D4" w:rsidRPr="00180776" w:rsidRDefault="006501D4" w:rsidP="007F5668">
      <w:pPr>
        <w:pStyle w:val="ListParagraph"/>
        <w:widowControl w:val="0"/>
        <w:numPr>
          <w:ilvl w:val="0"/>
          <w:numId w:val="26"/>
        </w:numPr>
        <w:spacing w:before="16"/>
        <w:ind w:right="1954"/>
        <w:contextualSpacing/>
        <w:rPr>
          <w:sz w:val="22"/>
          <w:szCs w:val="22"/>
        </w:rPr>
      </w:pPr>
      <w:r w:rsidRPr="00180776">
        <w:rPr>
          <w:sz w:val="22"/>
        </w:rPr>
        <w:t>Las cuentas de pacientes fallecidos y en quiebra se devolverán para realizar la cancelación.</w:t>
      </w:r>
    </w:p>
    <w:p w:rsidR="006501D4" w:rsidRPr="00180776" w:rsidRDefault="006501D4" w:rsidP="007F5668">
      <w:pPr>
        <w:pStyle w:val="ListParagraph"/>
        <w:widowControl w:val="0"/>
        <w:numPr>
          <w:ilvl w:val="0"/>
          <w:numId w:val="26"/>
        </w:numPr>
        <w:spacing w:before="16"/>
        <w:ind w:right="1954"/>
        <w:contextualSpacing/>
        <w:rPr>
          <w:sz w:val="22"/>
          <w:szCs w:val="22"/>
        </w:rPr>
      </w:pPr>
      <w:r w:rsidRPr="00180776">
        <w:rPr>
          <w:sz w:val="22"/>
        </w:rPr>
        <w:t>Las cuentas con devolución de correo y sin número de teléfono se cerrarán y devolverán a MMC para su cancelación.</w:t>
      </w:r>
    </w:p>
    <w:p w:rsidR="006501D4" w:rsidRPr="00180776" w:rsidRDefault="006501D4" w:rsidP="00145A8B">
      <w:pPr>
        <w:pStyle w:val="ListParagraph"/>
        <w:widowControl w:val="0"/>
        <w:numPr>
          <w:ilvl w:val="0"/>
          <w:numId w:val="26"/>
        </w:numPr>
        <w:tabs>
          <w:tab w:val="left" w:pos="8910"/>
        </w:tabs>
        <w:ind w:right="540"/>
        <w:contextualSpacing/>
        <w:rPr>
          <w:sz w:val="22"/>
          <w:szCs w:val="22"/>
        </w:rPr>
      </w:pPr>
      <w:r w:rsidRPr="00180776">
        <w:rPr>
          <w:sz w:val="22"/>
        </w:rPr>
        <w:t>Las cuentas con cobranzas activas de 90 a 180 días a partir de la fecha de derivación se cierran y regresan a MMC para su cancelación.</w:t>
      </w:r>
    </w:p>
    <w:p w:rsidR="006501D4" w:rsidRPr="00180776" w:rsidRDefault="006501D4" w:rsidP="006501D4">
      <w:pPr>
        <w:spacing w:after="0" w:line="240" w:lineRule="auto"/>
        <w:rPr>
          <w:rFonts w:ascii="Times New Roman" w:eastAsia="Times New Roman" w:hAnsi="Times New Roman" w:cs="Times New Roman"/>
        </w:rPr>
      </w:pPr>
    </w:p>
    <w:p w:rsidR="006501D4" w:rsidRPr="00180776" w:rsidRDefault="006501D4" w:rsidP="00D7731D">
      <w:pPr>
        <w:spacing w:after="0" w:line="240" w:lineRule="auto"/>
        <w:ind w:left="720" w:hanging="720"/>
        <w:rPr>
          <w:rFonts w:ascii="Times New Roman" w:eastAsia="Times New Roman" w:hAnsi="Times New Roman" w:cs="Times New Roman"/>
        </w:rPr>
      </w:pPr>
      <w:r w:rsidRPr="00180776">
        <w:rPr>
          <w:rFonts w:ascii="Times New Roman" w:hAnsi="Times New Roman"/>
        </w:rPr>
        <w:lastRenderedPageBreak/>
        <w:t xml:space="preserve">17.   </w:t>
      </w:r>
      <w:r w:rsidRPr="00180776">
        <w:tab/>
      </w:r>
      <w:r w:rsidRPr="00180776">
        <w:rPr>
          <w:rFonts w:ascii="Times New Roman" w:hAnsi="Times New Roman"/>
        </w:rPr>
        <w:t xml:space="preserve">El Centro Médico prohíbe realizar acciones de cobranza contra cualquier paciente que sea elegible para </w:t>
      </w:r>
      <w:r w:rsidR="00D7731D" w:rsidRPr="00180776">
        <w:rPr>
          <w:rFonts w:ascii="Times New Roman" w:hAnsi="Times New Roman"/>
        </w:rPr>
        <w:t>M</w:t>
      </w:r>
      <w:r w:rsidRPr="00180776">
        <w:rPr>
          <w:rFonts w:ascii="Times New Roman" w:hAnsi="Times New Roman"/>
        </w:rPr>
        <w:t xml:space="preserve">edicaid al momento de prestar los servicios. </w:t>
      </w:r>
    </w:p>
    <w:p w:rsidR="006501D4" w:rsidRPr="00180776" w:rsidRDefault="006501D4" w:rsidP="006501D4">
      <w:pPr>
        <w:spacing w:after="0" w:line="240" w:lineRule="auto"/>
        <w:rPr>
          <w:rFonts w:ascii="Times New Roman" w:eastAsia="Times New Roman" w:hAnsi="Times New Roman" w:cs="Times New Roman"/>
        </w:rPr>
      </w:pPr>
    </w:p>
    <w:p w:rsidR="006501D4" w:rsidRPr="00180776" w:rsidRDefault="006501D4" w:rsidP="006501D4">
      <w:pPr>
        <w:spacing w:after="0" w:line="240" w:lineRule="auto"/>
        <w:rPr>
          <w:rFonts w:ascii="Times New Roman" w:eastAsia="Times New Roman" w:hAnsi="Times New Roman" w:cs="Times New Roman"/>
        </w:rPr>
      </w:pPr>
      <w:r w:rsidRPr="00180776">
        <w:rPr>
          <w:rFonts w:ascii="Times New Roman" w:hAnsi="Times New Roman"/>
        </w:rPr>
        <w:t xml:space="preserve">18.  </w:t>
      </w:r>
      <w:r w:rsidRPr="00180776">
        <w:tab/>
      </w:r>
      <w:r w:rsidRPr="00180776">
        <w:rPr>
          <w:rFonts w:ascii="Times New Roman" w:hAnsi="Times New Roman"/>
        </w:rPr>
        <w:t xml:space="preserve">Todas las agencias de cobranzas afiliadas al Centro Médico tienen una copia de la política </w:t>
      </w:r>
      <w:r w:rsidR="00AE004A" w:rsidRPr="00180776">
        <w:rPr>
          <w:rFonts w:ascii="Times New Roman" w:hAnsi="Times New Roman"/>
        </w:rPr>
        <w:t>de</w:t>
      </w:r>
      <w:r w:rsidRPr="00180776">
        <w:rPr>
          <w:rFonts w:ascii="Times New Roman" w:hAnsi="Times New Roman"/>
        </w:rPr>
        <w:t xml:space="preserve">         </w:t>
      </w:r>
    </w:p>
    <w:p w:rsidR="006501D4" w:rsidRPr="00180776" w:rsidRDefault="006501D4" w:rsidP="006501D4">
      <w:pPr>
        <w:spacing w:after="0" w:line="240" w:lineRule="auto"/>
        <w:rPr>
          <w:rFonts w:ascii="Times New Roman" w:eastAsia="Times New Roman" w:hAnsi="Times New Roman" w:cs="Times New Roman"/>
        </w:rPr>
      </w:pPr>
      <w:r w:rsidRPr="00180776">
        <w:rPr>
          <w:rFonts w:ascii="Times New Roman" w:hAnsi="Times New Roman"/>
        </w:rPr>
        <w:t xml:space="preserve">       </w:t>
      </w:r>
      <w:r w:rsidRPr="00180776">
        <w:tab/>
      </w:r>
      <w:r w:rsidRPr="00180776">
        <w:rPr>
          <w:rFonts w:ascii="Times New Roman" w:hAnsi="Times New Roman"/>
        </w:rPr>
        <w:t xml:space="preserve">ayuda financiera del Centro Médico, y derivarán a cualquier paciente que necesite asistencia al   </w:t>
      </w:r>
    </w:p>
    <w:p w:rsidR="006501D4" w:rsidRPr="00180776" w:rsidRDefault="006501D4" w:rsidP="006501D4">
      <w:pPr>
        <w:spacing w:after="0" w:line="240" w:lineRule="auto"/>
        <w:rPr>
          <w:rFonts w:ascii="Times New Roman" w:eastAsia="Times New Roman" w:hAnsi="Times New Roman" w:cs="Times New Roman"/>
        </w:rPr>
      </w:pPr>
      <w:r w:rsidRPr="00180776">
        <w:rPr>
          <w:rFonts w:ascii="Times New Roman" w:hAnsi="Times New Roman"/>
        </w:rPr>
        <w:t xml:space="preserve">       </w:t>
      </w:r>
      <w:r w:rsidRPr="00180776">
        <w:tab/>
      </w:r>
      <w:r w:rsidRPr="00180776">
        <w:rPr>
          <w:rFonts w:ascii="Times New Roman" w:hAnsi="Times New Roman"/>
        </w:rPr>
        <w:t xml:space="preserve">Centro Médico para que se evalúe y reduzca la factura en función del ingreso anual y del   </w:t>
      </w:r>
    </w:p>
    <w:p w:rsidR="006501D4" w:rsidRPr="00180776" w:rsidRDefault="006501D4" w:rsidP="006501D4">
      <w:pPr>
        <w:spacing w:after="0" w:line="240" w:lineRule="auto"/>
        <w:rPr>
          <w:rFonts w:ascii="Times New Roman" w:eastAsia="Times New Roman" w:hAnsi="Times New Roman" w:cs="Times New Roman"/>
        </w:rPr>
      </w:pPr>
      <w:r w:rsidRPr="00180776">
        <w:rPr>
          <w:rFonts w:ascii="Times New Roman" w:hAnsi="Times New Roman"/>
        </w:rPr>
        <w:t xml:space="preserve">      </w:t>
      </w:r>
      <w:r w:rsidRPr="00180776">
        <w:tab/>
      </w:r>
      <w:r w:rsidRPr="00180776">
        <w:rPr>
          <w:rFonts w:ascii="Times New Roman" w:hAnsi="Times New Roman"/>
        </w:rPr>
        <w:t>tamaño de la familia.</w:t>
      </w:r>
    </w:p>
    <w:p w:rsidR="00CC5E31" w:rsidRPr="00180776" w:rsidRDefault="00CC5E31" w:rsidP="006501D4">
      <w:pPr>
        <w:spacing w:after="0" w:line="240" w:lineRule="auto"/>
        <w:rPr>
          <w:rFonts w:ascii="Times New Roman" w:eastAsia="Times New Roman" w:hAnsi="Times New Roman" w:cs="Times New Roman"/>
        </w:rPr>
      </w:pPr>
    </w:p>
    <w:p w:rsidR="006501D4" w:rsidRPr="00180776" w:rsidRDefault="006501D4" w:rsidP="00D7731D">
      <w:pPr>
        <w:spacing w:after="0" w:line="240" w:lineRule="auto"/>
        <w:ind w:left="720" w:hanging="660"/>
        <w:rPr>
          <w:rFonts w:ascii="Times New Roman" w:eastAsia="Times New Roman" w:hAnsi="Times New Roman" w:cs="Times New Roman"/>
        </w:rPr>
      </w:pPr>
      <w:r w:rsidRPr="00180776">
        <w:rPr>
          <w:rFonts w:ascii="Times New Roman" w:hAnsi="Times New Roman"/>
        </w:rPr>
        <w:t xml:space="preserve">19. </w:t>
      </w:r>
      <w:r w:rsidRPr="00180776">
        <w:tab/>
      </w:r>
      <w:r w:rsidRPr="00180776">
        <w:rPr>
          <w:rFonts w:ascii="Times New Roman" w:hAnsi="Times New Roman"/>
        </w:rPr>
        <w:t xml:space="preserve">La Oficina de Asistencia Financiera mide el cumplimiento de su política mediante el envío de sus propios  </w:t>
      </w:r>
      <w:r w:rsidR="00D7731D" w:rsidRPr="00180776">
        <w:rPr>
          <w:rFonts w:ascii="Times New Roman" w:hAnsi="Times New Roman"/>
        </w:rPr>
        <w:t>“</w:t>
      </w:r>
      <w:r w:rsidRPr="00180776">
        <w:rPr>
          <w:rFonts w:ascii="Times New Roman" w:hAnsi="Times New Roman"/>
        </w:rPr>
        <w:t>Clientes silenciosos" a las áreas de ingreso y registro para garantizar que las publicaciones y  los resúmenes se publiquen y estén disponibles, y que los</w:t>
      </w:r>
      <w:r w:rsidR="00D7731D" w:rsidRPr="00180776">
        <w:rPr>
          <w:rFonts w:ascii="Times New Roman" w:hAnsi="Times New Roman"/>
        </w:rPr>
        <w:t xml:space="preserve"> asociados sepan que el Centro</w:t>
      </w:r>
      <w:r w:rsidRPr="00180776">
        <w:rPr>
          <w:rFonts w:ascii="Times New Roman" w:hAnsi="Times New Roman"/>
        </w:rPr>
        <w:t xml:space="preserve"> </w:t>
      </w:r>
      <w:r w:rsidR="00D7731D" w:rsidRPr="00180776">
        <w:rPr>
          <w:rFonts w:ascii="Times New Roman" w:hAnsi="Times New Roman"/>
        </w:rPr>
        <w:t>Mé</w:t>
      </w:r>
      <w:r w:rsidRPr="00180776">
        <w:rPr>
          <w:rFonts w:ascii="Times New Roman" w:hAnsi="Times New Roman"/>
        </w:rPr>
        <w:t xml:space="preserve">dico ofrece asistencia financiera. </w:t>
      </w:r>
    </w:p>
    <w:p w:rsidR="006501D4" w:rsidRPr="00180776" w:rsidRDefault="006501D4" w:rsidP="006501D4">
      <w:pPr>
        <w:spacing w:after="0" w:line="240" w:lineRule="auto"/>
        <w:rPr>
          <w:rFonts w:ascii="Times New Roman" w:eastAsia="Times New Roman" w:hAnsi="Times New Roman" w:cs="Times New Roman"/>
        </w:rPr>
      </w:pPr>
    </w:p>
    <w:p w:rsidR="006501D4" w:rsidRPr="00180776" w:rsidRDefault="006501D4" w:rsidP="00D7731D">
      <w:pPr>
        <w:spacing w:after="0" w:line="240" w:lineRule="auto"/>
        <w:ind w:left="720" w:hanging="720"/>
        <w:rPr>
          <w:rFonts w:ascii="Times New Roman" w:eastAsia="Times New Roman" w:hAnsi="Times New Roman" w:cs="Times New Roman"/>
        </w:rPr>
      </w:pPr>
      <w:r w:rsidRPr="00180776">
        <w:rPr>
          <w:rFonts w:ascii="Times New Roman" w:hAnsi="Times New Roman"/>
        </w:rPr>
        <w:t xml:space="preserve">20.  </w:t>
      </w:r>
      <w:r w:rsidRPr="00180776">
        <w:tab/>
      </w:r>
      <w:r w:rsidRPr="00180776">
        <w:rPr>
          <w:rFonts w:ascii="Times New Roman" w:hAnsi="Times New Roman"/>
        </w:rPr>
        <w:t xml:space="preserve">Se otorgará asistencia financiera total a los pacientes con facturas de pago automático pendientes y </w:t>
      </w:r>
      <w:r w:rsidR="00D7731D" w:rsidRPr="00180776">
        <w:rPr>
          <w:rFonts w:ascii="Times New Roman" w:hAnsi="Times New Roman"/>
        </w:rPr>
        <w:t>c</w:t>
      </w:r>
      <w:r w:rsidRPr="00180776">
        <w:rPr>
          <w:rFonts w:ascii="Times New Roman" w:hAnsi="Times New Roman"/>
        </w:rPr>
        <w:t xml:space="preserve">obertura actual de Medicaid. </w:t>
      </w:r>
    </w:p>
    <w:p w:rsidR="006501D4" w:rsidRPr="00180776" w:rsidRDefault="006501D4" w:rsidP="006501D4">
      <w:pPr>
        <w:spacing w:after="0" w:line="240" w:lineRule="auto"/>
        <w:rPr>
          <w:rFonts w:ascii="Times New Roman" w:eastAsia="Times New Roman" w:hAnsi="Times New Roman" w:cs="Times New Roman"/>
        </w:rPr>
      </w:pPr>
    </w:p>
    <w:p w:rsidR="006501D4" w:rsidRPr="00180776" w:rsidRDefault="006501D4" w:rsidP="006501D4">
      <w:pPr>
        <w:spacing w:after="0" w:line="240" w:lineRule="auto"/>
        <w:rPr>
          <w:rFonts w:ascii="Times New Roman" w:eastAsia="Times New Roman" w:hAnsi="Times New Roman" w:cs="Times New Roman"/>
        </w:rPr>
      </w:pPr>
      <w:r w:rsidRPr="00180776">
        <w:rPr>
          <w:rFonts w:ascii="Times New Roman" w:hAnsi="Times New Roman"/>
        </w:rPr>
        <w:t xml:space="preserve">21.  </w:t>
      </w:r>
      <w:r w:rsidRPr="00180776">
        <w:tab/>
      </w:r>
      <w:r w:rsidRPr="00180776">
        <w:rPr>
          <w:rFonts w:ascii="Times New Roman" w:hAnsi="Times New Roman"/>
        </w:rPr>
        <w:t xml:space="preserve"> El estado migratorio no es un criterio en uso a la hora de determinar la elegibilidad. </w:t>
      </w:r>
    </w:p>
    <w:p w:rsidR="006501D4" w:rsidRPr="00180776" w:rsidRDefault="006501D4" w:rsidP="006501D4">
      <w:pPr>
        <w:spacing w:after="0" w:line="240" w:lineRule="auto"/>
        <w:rPr>
          <w:rFonts w:ascii="Times New Roman" w:eastAsia="Times New Roman" w:hAnsi="Times New Roman" w:cs="Times New Roman"/>
        </w:rPr>
      </w:pPr>
    </w:p>
    <w:p w:rsidR="006501D4" w:rsidRPr="00180776" w:rsidRDefault="006501D4" w:rsidP="00D7731D">
      <w:pPr>
        <w:shd w:val="clear" w:color="auto" w:fill="FFFFFF"/>
        <w:spacing w:after="0" w:line="240" w:lineRule="auto"/>
        <w:ind w:left="720" w:hanging="720"/>
        <w:rPr>
          <w:rFonts w:ascii="Times New Roman" w:eastAsia="Times New Roman" w:hAnsi="Times New Roman" w:cs="Times New Roman"/>
          <w:iCs/>
        </w:rPr>
      </w:pPr>
      <w:r w:rsidRPr="00180776">
        <w:rPr>
          <w:rFonts w:ascii="Times New Roman" w:hAnsi="Times New Roman"/>
        </w:rPr>
        <w:t xml:space="preserve">22.  </w:t>
      </w:r>
      <w:r w:rsidRPr="00180776">
        <w:tab/>
      </w:r>
      <w:r w:rsidRPr="00180776">
        <w:rPr>
          <w:rFonts w:ascii="Times New Roman" w:hAnsi="Times New Roman"/>
        </w:rPr>
        <w:t>El Centro Médico utiliza el método de análisis predictivo para ayudar a determinar si corresponde solicitar cuidados caritativos</w:t>
      </w:r>
      <w:r w:rsidR="00D7731D" w:rsidRPr="00180776">
        <w:rPr>
          <w:rFonts w:ascii="Times New Roman" w:hAnsi="Times New Roman"/>
        </w:rPr>
        <w:t xml:space="preserve"> </w:t>
      </w:r>
      <w:r w:rsidRPr="00180776">
        <w:rPr>
          <w:rFonts w:ascii="Times New Roman" w:hAnsi="Times New Roman"/>
        </w:rPr>
        <w:t xml:space="preserve">en ausencia de solicitudes de asistencia financiera.  Se utilizan los servicios de Transunion para realizar esta evaluación. </w:t>
      </w:r>
      <w:r w:rsidR="00D7731D" w:rsidRPr="00180776">
        <w:rPr>
          <w:rFonts w:ascii="Times New Roman" w:hAnsi="Times New Roman"/>
        </w:rPr>
        <w:t>T</w:t>
      </w:r>
      <w:r w:rsidR="001A126E" w:rsidRPr="00180776">
        <w:rPr>
          <w:rFonts w:ascii="Times New Roman" w:hAnsi="Times New Roman"/>
        </w:rPr>
        <w:t xml:space="preserve">ales hallazgos no harán que los pacientes no sean elegibles para recibir asistencia financiera.  Si </w:t>
      </w:r>
      <w:r w:rsidR="00D7731D" w:rsidRPr="00180776">
        <w:rPr>
          <w:rFonts w:ascii="Times New Roman" w:hAnsi="Times New Roman"/>
        </w:rPr>
        <w:t xml:space="preserve">algún paciente completa una </w:t>
      </w:r>
      <w:r w:rsidR="001A126E" w:rsidRPr="00180776">
        <w:rPr>
          <w:rFonts w:ascii="Times New Roman" w:hAnsi="Times New Roman"/>
        </w:rPr>
        <w:t xml:space="preserve">solicitud de asistencia financiera y adjunta documentación que evidencia que su ingreso es menor que la </w:t>
      </w:r>
      <w:r w:rsidRPr="00180776">
        <w:rPr>
          <w:rFonts w:ascii="Times New Roman" w:hAnsi="Times New Roman"/>
        </w:rPr>
        <w:t>categoría que se determinó usando el método de análisis predictivo, la responsabilidad financiera del paciente se reducirá aún más al monto menor.</w:t>
      </w:r>
      <w:r w:rsidRPr="00180776">
        <w:rPr>
          <w:rFonts w:ascii="Calibri" w:hAnsi="Calibri"/>
          <w:i/>
          <w:color w:val="1F497D"/>
        </w:rPr>
        <w:t xml:space="preserve">   </w:t>
      </w:r>
      <w:r w:rsidRPr="00180776">
        <w:rPr>
          <w:rFonts w:ascii="Times New Roman" w:hAnsi="Times New Roman"/>
        </w:rPr>
        <w:t xml:space="preserve">Si el consumidor tiene alguna pregunta o inquietud </w:t>
      </w:r>
      <w:r w:rsidR="007F5668" w:rsidRPr="00180776">
        <w:rPr>
          <w:rFonts w:ascii="Times New Roman" w:hAnsi="Times New Roman"/>
        </w:rPr>
        <w:t>con respecto a la consulta, puede comunicarse con la línea de Transunion Customer Care Credit al (800)-916-8800.</w:t>
      </w:r>
    </w:p>
    <w:p w:rsidR="006501D4" w:rsidRPr="00180776" w:rsidRDefault="006501D4" w:rsidP="000F4193">
      <w:pPr>
        <w:shd w:val="clear" w:color="auto" w:fill="FFFFFF"/>
        <w:spacing w:after="0" w:line="240" w:lineRule="auto"/>
        <w:rPr>
          <w:rFonts w:ascii="Times New Roman" w:eastAsia="Times New Roman" w:hAnsi="Times New Roman" w:cs="Times New Roman"/>
        </w:rPr>
      </w:pPr>
      <w:r w:rsidRPr="00180776">
        <w:rPr>
          <w:rFonts w:ascii="Calibri" w:hAnsi="Calibri"/>
          <w:i/>
          <w:color w:val="1F497D"/>
        </w:rPr>
        <w:t xml:space="preserve">             </w:t>
      </w:r>
    </w:p>
    <w:p w:rsidR="006501D4" w:rsidRPr="00180776" w:rsidRDefault="006501D4" w:rsidP="006501D4">
      <w:pPr>
        <w:autoSpaceDE w:val="0"/>
        <w:autoSpaceDN w:val="0"/>
        <w:adjustRightInd w:val="0"/>
        <w:spacing w:after="0" w:line="240" w:lineRule="auto"/>
        <w:rPr>
          <w:rFonts w:ascii="Times New Roman" w:eastAsia="Times New Roman" w:hAnsi="Times New Roman" w:cs="Times New Roman"/>
        </w:rPr>
      </w:pPr>
      <w:r w:rsidRPr="00180776">
        <w:rPr>
          <w:rFonts w:ascii="Times New Roman" w:hAnsi="Times New Roman"/>
        </w:rPr>
        <w:t xml:space="preserve">23.   </w:t>
      </w:r>
      <w:r w:rsidRPr="00180776">
        <w:tab/>
      </w:r>
      <w:r w:rsidRPr="00180776">
        <w:rPr>
          <w:rFonts w:ascii="Times New Roman" w:hAnsi="Times New Roman"/>
        </w:rPr>
        <w:t>En los resúmenes de cuenta del Centro Médico, se informará a los</w:t>
      </w:r>
      <w:r w:rsidR="00AE004A" w:rsidRPr="00180776">
        <w:rPr>
          <w:rFonts w:ascii="Times New Roman" w:hAnsi="Times New Roman"/>
        </w:rPr>
        <w:t xml:space="preserve"> pacientes si han recibido una </w:t>
      </w:r>
    </w:p>
    <w:p w:rsidR="006501D4" w:rsidRPr="00180776" w:rsidRDefault="006501D4" w:rsidP="006501D4">
      <w:pPr>
        <w:autoSpaceDE w:val="0"/>
        <w:autoSpaceDN w:val="0"/>
        <w:adjustRightInd w:val="0"/>
        <w:spacing w:after="0" w:line="240" w:lineRule="auto"/>
        <w:rPr>
          <w:rFonts w:ascii="Times New Roman" w:eastAsia="Times New Roman" w:hAnsi="Times New Roman" w:cs="Times New Roman"/>
        </w:rPr>
      </w:pPr>
      <w:r w:rsidRPr="00180776">
        <w:rPr>
          <w:rFonts w:ascii="Times New Roman" w:hAnsi="Times New Roman"/>
        </w:rPr>
        <w:t xml:space="preserve">         </w:t>
      </w:r>
      <w:r w:rsidRPr="00180776">
        <w:tab/>
      </w:r>
      <w:r w:rsidRPr="00180776">
        <w:rPr>
          <w:rFonts w:ascii="Times New Roman" w:hAnsi="Times New Roman"/>
        </w:rPr>
        <w:t xml:space="preserve">asistencia financiera o un descuento de pago automático. </w:t>
      </w:r>
    </w:p>
    <w:p w:rsidR="006501D4" w:rsidRPr="00180776" w:rsidRDefault="006501D4" w:rsidP="006501D4">
      <w:pPr>
        <w:spacing w:after="0" w:line="240" w:lineRule="auto"/>
        <w:rPr>
          <w:rFonts w:ascii="Times New Roman" w:eastAsia="Times New Roman" w:hAnsi="Times New Roman" w:cs="Times New Roman"/>
          <w:color w:val="000000"/>
        </w:rPr>
      </w:pPr>
      <w:r w:rsidRPr="00180776">
        <w:tab/>
      </w:r>
    </w:p>
    <w:p w:rsidR="006501D4" w:rsidRPr="00180776" w:rsidRDefault="006501D4" w:rsidP="006501D4">
      <w:pPr>
        <w:spacing w:after="0" w:line="240" w:lineRule="auto"/>
        <w:rPr>
          <w:rFonts w:ascii="Times New Roman" w:eastAsia="Times New Roman" w:hAnsi="Times New Roman" w:cs="Times New Roman"/>
        </w:rPr>
      </w:pPr>
      <w:r w:rsidRPr="00180776">
        <w:rPr>
          <w:rFonts w:ascii="Times New Roman" w:hAnsi="Times New Roman"/>
        </w:rPr>
        <w:t xml:space="preserve">24. </w:t>
      </w:r>
      <w:r w:rsidRPr="00180776">
        <w:tab/>
      </w:r>
      <w:r w:rsidRPr="00180776">
        <w:rPr>
          <w:rFonts w:ascii="Times New Roman" w:hAnsi="Times New Roman"/>
        </w:rPr>
        <w:t>El centro Médico no toma medidas</w:t>
      </w:r>
      <w:r w:rsidR="00D7731D" w:rsidRPr="00180776">
        <w:rPr>
          <w:rFonts w:ascii="Times New Roman" w:hAnsi="Times New Roman"/>
        </w:rPr>
        <w:t xml:space="preserve"> extraordinarias de cobranzas. </w:t>
      </w:r>
      <w:r w:rsidRPr="00180776">
        <w:rPr>
          <w:rFonts w:ascii="Times New Roman" w:hAnsi="Times New Roman"/>
        </w:rPr>
        <w:t xml:space="preserve">Las medidas extraordinarias </w:t>
      </w:r>
      <w:r w:rsidR="00AE004A" w:rsidRPr="00180776">
        <w:rPr>
          <w:rFonts w:ascii="Times New Roman" w:hAnsi="Times New Roman"/>
        </w:rPr>
        <w:t>de</w:t>
      </w:r>
      <w:r w:rsidRPr="00180776">
        <w:rPr>
          <w:rFonts w:ascii="Times New Roman" w:hAnsi="Times New Roman"/>
        </w:rPr>
        <w:t xml:space="preserve"> </w:t>
      </w:r>
    </w:p>
    <w:p w:rsidR="006501D4" w:rsidRPr="00180776" w:rsidRDefault="00AE004A" w:rsidP="006501D4">
      <w:pPr>
        <w:spacing w:after="0" w:line="240" w:lineRule="auto"/>
        <w:rPr>
          <w:rFonts w:ascii="Times New Roman" w:eastAsia="Times New Roman" w:hAnsi="Times New Roman" w:cs="Times New Roman"/>
        </w:rPr>
      </w:pPr>
      <w:r w:rsidRPr="00180776">
        <w:rPr>
          <w:rFonts w:ascii="Times New Roman" w:hAnsi="Times New Roman"/>
        </w:rPr>
        <w:t xml:space="preserve">             </w:t>
      </w:r>
      <w:r w:rsidR="006501D4" w:rsidRPr="00180776">
        <w:rPr>
          <w:rFonts w:ascii="Times New Roman" w:hAnsi="Times New Roman"/>
        </w:rPr>
        <w:t>cobranzas que no utilizamos incluyen las siguientes:</w:t>
      </w:r>
    </w:p>
    <w:p w:rsidR="006501D4" w:rsidRPr="00180776" w:rsidRDefault="006501D4" w:rsidP="006501D4">
      <w:pPr>
        <w:numPr>
          <w:ilvl w:val="0"/>
          <w:numId w:val="12"/>
        </w:numPr>
        <w:spacing w:after="0" w:line="240" w:lineRule="auto"/>
        <w:rPr>
          <w:rFonts w:ascii="Times New Roman" w:eastAsia="Times New Roman" w:hAnsi="Times New Roman" w:cs="Times New Roman"/>
        </w:rPr>
      </w:pPr>
      <w:r w:rsidRPr="00180776">
        <w:rPr>
          <w:rFonts w:ascii="Times New Roman" w:hAnsi="Times New Roman"/>
        </w:rPr>
        <w:t>Embargo de salarios</w:t>
      </w:r>
    </w:p>
    <w:p w:rsidR="006501D4" w:rsidRPr="00180776" w:rsidRDefault="006501D4" w:rsidP="006501D4">
      <w:pPr>
        <w:numPr>
          <w:ilvl w:val="0"/>
          <w:numId w:val="12"/>
        </w:numPr>
        <w:spacing w:after="0" w:line="240" w:lineRule="auto"/>
        <w:rPr>
          <w:rFonts w:ascii="Times New Roman" w:eastAsia="Times New Roman" w:hAnsi="Times New Roman" w:cs="Times New Roman"/>
        </w:rPr>
      </w:pPr>
      <w:r w:rsidRPr="00180776">
        <w:rPr>
          <w:rFonts w:ascii="Times New Roman" w:hAnsi="Times New Roman"/>
        </w:rPr>
        <w:t>Presentación de informes ante organismos de crédito</w:t>
      </w:r>
    </w:p>
    <w:p w:rsidR="006501D4" w:rsidRPr="00180776" w:rsidRDefault="006501D4" w:rsidP="006501D4">
      <w:pPr>
        <w:numPr>
          <w:ilvl w:val="0"/>
          <w:numId w:val="12"/>
        </w:numPr>
        <w:spacing w:after="0" w:line="240" w:lineRule="auto"/>
        <w:rPr>
          <w:rFonts w:ascii="Times New Roman" w:eastAsia="Times New Roman" w:hAnsi="Times New Roman" w:cs="Times New Roman"/>
        </w:rPr>
      </w:pPr>
      <w:r w:rsidRPr="00180776">
        <w:rPr>
          <w:rFonts w:ascii="Times New Roman" w:hAnsi="Times New Roman"/>
        </w:rPr>
        <w:t>Venta de la deuda</w:t>
      </w:r>
    </w:p>
    <w:p w:rsidR="006501D4" w:rsidRPr="00180776" w:rsidRDefault="006501D4" w:rsidP="006501D4">
      <w:pPr>
        <w:spacing w:after="0" w:line="240" w:lineRule="auto"/>
        <w:rPr>
          <w:rFonts w:ascii="Times New Roman" w:eastAsia="Times New Roman" w:hAnsi="Times New Roman" w:cs="Times New Roman"/>
        </w:rPr>
      </w:pPr>
    </w:p>
    <w:p w:rsidR="006501D4" w:rsidRPr="00180776" w:rsidRDefault="006501D4" w:rsidP="006501D4">
      <w:pPr>
        <w:spacing w:after="0" w:line="240" w:lineRule="auto"/>
        <w:rPr>
          <w:rFonts w:ascii="Times New Roman" w:eastAsia="Times New Roman" w:hAnsi="Times New Roman" w:cs="Times New Roman"/>
        </w:rPr>
      </w:pPr>
      <w:r w:rsidRPr="00180776">
        <w:rPr>
          <w:rFonts w:ascii="Times New Roman" w:hAnsi="Times New Roman"/>
        </w:rPr>
        <w:t xml:space="preserve">25.  </w:t>
      </w:r>
      <w:r w:rsidRPr="00180776">
        <w:tab/>
      </w:r>
      <w:r w:rsidRPr="00180776">
        <w:rPr>
          <w:rFonts w:ascii="Times New Roman" w:hAnsi="Times New Roman"/>
        </w:rPr>
        <w:t>Los pacientes que tengan quejas acerca de la política de asistencia</w:t>
      </w:r>
      <w:r w:rsidR="00AE004A" w:rsidRPr="00180776">
        <w:rPr>
          <w:rFonts w:ascii="Times New Roman" w:hAnsi="Times New Roman"/>
        </w:rPr>
        <w:t xml:space="preserve"> financiera del Centro Médico o</w:t>
      </w:r>
      <w:r w:rsidRPr="00180776">
        <w:rPr>
          <w:rFonts w:ascii="Times New Roman" w:hAnsi="Times New Roman"/>
        </w:rPr>
        <w:t xml:space="preserve">      </w:t>
      </w:r>
    </w:p>
    <w:p w:rsidR="006501D4" w:rsidRPr="00180776" w:rsidRDefault="006501D4" w:rsidP="00D7731D">
      <w:pPr>
        <w:spacing w:after="0" w:line="240" w:lineRule="auto"/>
        <w:ind w:left="720"/>
        <w:rPr>
          <w:rFonts w:ascii="Times New Roman" w:eastAsia="Times New Roman" w:hAnsi="Times New Roman" w:cs="Times New Roman"/>
        </w:rPr>
      </w:pPr>
      <w:r w:rsidRPr="00180776">
        <w:rPr>
          <w:rFonts w:ascii="Times New Roman" w:hAnsi="Times New Roman"/>
        </w:rPr>
        <w:t>de sus procesos pueden llamar a la línea telefónica de quejas del Departamento de Salud del Estado de Nueva York al 1</w:t>
      </w:r>
      <w:r w:rsidRPr="00180776">
        <w:rPr>
          <w:rFonts w:ascii="Times New Roman" w:hAnsi="Times New Roman"/>
          <w:color w:val="000000"/>
        </w:rPr>
        <w:t xml:space="preserve">-800- 804-5447.  Esta información también se incluye en las cartas de denegación. </w:t>
      </w:r>
    </w:p>
    <w:p w:rsidR="006501D4" w:rsidRPr="00180776" w:rsidRDefault="006501D4" w:rsidP="006501D4">
      <w:pPr>
        <w:spacing w:after="0" w:line="240" w:lineRule="auto"/>
        <w:rPr>
          <w:rFonts w:ascii="Times New Roman" w:eastAsia="Times New Roman" w:hAnsi="Times New Roman" w:cs="Times New Roman"/>
        </w:rPr>
      </w:pPr>
    </w:p>
    <w:p w:rsidR="006501D4" w:rsidRPr="00180776" w:rsidRDefault="006501D4" w:rsidP="006501D4">
      <w:pPr>
        <w:spacing w:after="0" w:line="240" w:lineRule="auto"/>
        <w:rPr>
          <w:rFonts w:ascii="Times New Roman" w:hAnsi="Times New Roman"/>
        </w:rPr>
      </w:pPr>
      <w:r w:rsidRPr="00180776">
        <w:rPr>
          <w:rFonts w:ascii="Times New Roman" w:hAnsi="Times New Roman"/>
        </w:rPr>
        <w:t xml:space="preserve">26.       </w:t>
      </w:r>
      <w:r w:rsidR="00AE004A" w:rsidRPr="00180776">
        <w:rPr>
          <w:rFonts w:ascii="Times New Roman" w:hAnsi="Times New Roman"/>
        </w:rPr>
        <w:t xml:space="preserve"> </w:t>
      </w:r>
      <w:r w:rsidRPr="00180776">
        <w:rPr>
          <w:rFonts w:ascii="Times New Roman" w:hAnsi="Times New Roman"/>
        </w:rPr>
        <w:t xml:space="preserve">Para las personas sin seguro médico que se encuentren al 100 % del FPL o por debajo de este y </w:t>
      </w:r>
    </w:p>
    <w:p w:rsidR="000F4193" w:rsidRPr="00180776" w:rsidRDefault="00D7731D" w:rsidP="00AE004A">
      <w:pPr>
        <w:spacing w:after="0" w:line="240" w:lineRule="auto"/>
        <w:ind w:left="709"/>
        <w:rPr>
          <w:rFonts w:ascii="Times New Roman" w:eastAsia="Times New Roman" w:hAnsi="Times New Roman" w:cs="Times New Roman"/>
        </w:rPr>
      </w:pPr>
      <w:r w:rsidRPr="00180776">
        <w:rPr>
          <w:rFonts w:ascii="Times New Roman" w:hAnsi="Times New Roman"/>
        </w:rPr>
        <w:t xml:space="preserve">que están aprobados para </w:t>
      </w:r>
      <w:r w:rsidR="006501D4" w:rsidRPr="00180776">
        <w:rPr>
          <w:rFonts w:ascii="Times New Roman" w:hAnsi="Times New Roman"/>
        </w:rPr>
        <w:t>recibir asistencia financiera, se limitará la responsabilidad fi</w:t>
      </w:r>
      <w:r w:rsidRPr="00180776">
        <w:rPr>
          <w:rFonts w:ascii="Times New Roman" w:hAnsi="Times New Roman"/>
        </w:rPr>
        <w:t xml:space="preserve">nanciera del paciente al monto </w:t>
      </w:r>
      <w:r w:rsidR="000F4193" w:rsidRPr="00180776">
        <w:rPr>
          <w:rFonts w:ascii="Times New Roman" w:hAnsi="Times New Roman"/>
        </w:rPr>
        <w:t>nominal que se indica a continuación para los siguientes servicios (consulte el Anexo A para ver las tarifas):</w:t>
      </w:r>
    </w:p>
    <w:p w:rsidR="006501D4" w:rsidRPr="00180776" w:rsidRDefault="006501D4" w:rsidP="006501D4">
      <w:pPr>
        <w:numPr>
          <w:ilvl w:val="0"/>
          <w:numId w:val="12"/>
        </w:numPr>
        <w:spacing w:after="0" w:line="240" w:lineRule="auto"/>
        <w:rPr>
          <w:rFonts w:ascii="Times New Roman" w:eastAsia="Times New Roman" w:hAnsi="Times New Roman" w:cs="Times New Roman"/>
        </w:rPr>
      </w:pPr>
      <w:r w:rsidRPr="00180776">
        <w:rPr>
          <w:rFonts w:ascii="Times New Roman" w:hAnsi="Times New Roman"/>
        </w:rPr>
        <w:t>Pacientes internados: $150 por alta</w:t>
      </w:r>
    </w:p>
    <w:p w:rsidR="006501D4" w:rsidRPr="00180776" w:rsidRDefault="006501D4" w:rsidP="006501D4">
      <w:pPr>
        <w:numPr>
          <w:ilvl w:val="0"/>
          <w:numId w:val="12"/>
        </w:numPr>
        <w:spacing w:after="0" w:line="240" w:lineRule="auto"/>
        <w:rPr>
          <w:rFonts w:ascii="Times New Roman" w:eastAsia="Times New Roman" w:hAnsi="Times New Roman" w:cs="Times New Roman"/>
        </w:rPr>
      </w:pPr>
      <w:r w:rsidRPr="00180776">
        <w:rPr>
          <w:rFonts w:ascii="Times New Roman" w:hAnsi="Times New Roman"/>
        </w:rPr>
        <w:t>Cirugía ambulatoria: $150 por procedimiento</w:t>
      </w:r>
    </w:p>
    <w:p w:rsidR="006501D4" w:rsidRPr="00180776" w:rsidRDefault="006501D4" w:rsidP="006501D4">
      <w:pPr>
        <w:numPr>
          <w:ilvl w:val="0"/>
          <w:numId w:val="12"/>
        </w:numPr>
        <w:spacing w:after="0" w:line="240" w:lineRule="auto"/>
        <w:rPr>
          <w:rFonts w:ascii="Times New Roman" w:eastAsia="Times New Roman" w:hAnsi="Times New Roman" w:cs="Times New Roman"/>
        </w:rPr>
      </w:pPr>
      <w:r w:rsidRPr="00180776">
        <w:rPr>
          <w:rFonts w:ascii="Times New Roman" w:hAnsi="Times New Roman"/>
        </w:rPr>
        <w:t>Servicios de sala de emergencias y clínicos para adultos: $15 por visita</w:t>
      </w:r>
    </w:p>
    <w:p w:rsidR="006501D4" w:rsidRPr="00180776" w:rsidRDefault="006501D4" w:rsidP="006501D4">
      <w:pPr>
        <w:numPr>
          <w:ilvl w:val="0"/>
          <w:numId w:val="12"/>
        </w:numPr>
        <w:spacing w:after="0" w:line="240" w:lineRule="auto"/>
        <w:rPr>
          <w:rFonts w:ascii="Times New Roman" w:eastAsia="Times New Roman" w:hAnsi="Times New Roman" w:cs="Times New Roman"/>
        </w:rPr>
      </w:pPr>
      <w:r w:rsidRPr="00180776">
        <w:rPr>
          <w:rFonts w:ascii="Times New Roman" w:hAnsi="Times New Roman"/>
        </w:rPr>
        <w:t>Servicios clínicos prenatales y pediátricos de sala de emergencias: sin cargo</w:t>
      </w:r>
    </w:p>
    <w:p w:rsidR="006501D4" w:rsidRPr="00180776"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180776" w:rsidRDefault="006501D4" w:rsidP="00CD355A">
      <w:pPr>
        <w:autoSpaceDE w:val="0"/>
        <w:autoSpaceDN w:val="0"/>
        <w:adjustRightInd w:val="0"/>
        <w:spacing w:after="0" w:line="240" w:lineRule="auto"/>
        <w:ind w:left="720" w:hanging="720"/>
        <w:rPr>
          <w:rFonts w:ascii="Times New Roman" w:eastAsia="Times New Roman" w:hAnsi="Times New Roman" w:cs="Times New Roman"/>
        </w:rPr>
      </w:pPr>
      <w:r w:rsidRPr="00180776">
        <w:rPr>
          <w:rFonts w:ascii="Times New Roman" w:hAnsi="Times New Roman"/>
        </w:rPr>
        <w:t xml:space="preserve">27.    </w:t>
      </w:r>
      <w:r w:rsidRPr="00180776">
        <w:tab/>
      </w:r>
      <w:r w:rsidRPr="00180776">
        <w:rPr>
          <w:rFonts w:ascii="Times New Roman" w:hAnsi="Times New Roman"/>
        </w:rPr>
        <w:t>Para las personas sin seguro médico que se encuentren al 300 % del FPL o por debajo de es</w:t>
      </w:r>
      <w:r w:rsidR="00CD355A" w:rsidRPr="00180776">
        <w:rPr>
          <w:rFonts w:ascii="Times New Roman" w:hAnsi="Times New Roman"/>
        </w:rPr>
        <w:t>te y que están aprobados para re</w:t>
      </w:r>
      <w:r w:rsidRPr="00180776">
        <w:rPr>
          <w:rFonts w:ascii="Times New Roman" w:hAnsi="Times New Roman"/>
        </w:rPr>
        <w:t>cibir asistencia financiera, la responsabilidad financiera del paciente se dará en fun</w:t>
      </w:r>
      <w:r w:rsidR="00CD355A" w:rsidRPr="00180776">
        <w:rPr>
          <w:rFonts w:ascii="Times New Roman" w:hAnsi="Times New Roman"/>
        </w:rPr>
        <w:t xml:space="preserve">ción de una escala descendente </w:t>
      </w:r>
      <w:r w:rsidRPr="00180776">
        <w:rPr>
          <w:rFonts w:ascii="Times New Roman" w:hAnsi="Times New Roman"/>
        </w:rPr>
        <w:t xml:space="preserve">con un tope de los montos que se habrían pagado por los mismos servicios de Medicaid o Medicare, </w:t>
      </w:r>
      <w:r w:rsidR="00CD355A" w:rsidRPr="00180776">
        <w:rPr>
          <w:rFonts w:ascii="Times New Roman" w:hAnsi="Times New Roman"/>
        </w:rPr>
        <w:t>(</w:t>
      </w:r>
      <w:r w:rsidRPr="00180776">
        <w:rPr>
          <w:rFonts w:ascii="Times New Roman" w:hAnsi="Times New Roman"/>
        </w:rPr>
        <w:t>Consulte el Anexo A para ver las tasas).</w:t>
      </w:r>
    </w:p>
    <w:p w:rsidR="006501D4" w:rsidRPr="00180776"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180776" w:rsidRDefault="006501D4" w:rsidP="00CD355A">
      <w:pPr>
        <w:autoSpaceDE w:val="0"/>
        <w:autoSpaceDN w:val="0"/>
        <w:adjustRightInd w:val="0"/>
        <w:spacing w:after="0" w:line="240" w:lineRule="auto"/>
        <w:ind w:left="720" w:hanging="720"/>
        <w:rPr>
          <w:rFonts w:ascii="Times New Roman" w:eastAsia="Times New Roman" w:hAnsi="Times New Roman" w:cs="Times New Roman"/>
        </w:rPr>
      </w:pPr>
      <w:r w:rsidRPr="00180776">
        <w:rPr>
          <w:rFonts w:ascii="Times New Roman" w:hAnsi="Times New Roman"/>
        </w:rPr>
        <w:t xml:space="preserve">28.    </w:t>
      </w:r>
      <w:r w:rsidRPr="00180776">
        <w:tab/>
      </w:r>
      <w:r w:rsidRPr="00180776">
        <w:rPr>
          <w:rFonts w:ascii="Times New Roman" w:hAnsi="Times New Roman"/>
        </w:rPr>
        <w:t>La política de asistencia financiera del Centro Médico también se extiende a las personas sin seguro médico</w:t>
      </w:r>
      <w:r w:rsidR="00CD355A" w:rsidRPr="00180776">
        <w:rPr>
          <w:rFonts w:ascii="Times New Roman" w:hAnsi="Times New Roman"/>
        </w:rPr>
        <w:t xml:space="preserve"> </w:t>
      </w:r>
      <w:r w:rsidRPr="00180776">
        <w:rPr>
          <w:rFonts w:ascii="Times New Roman" w:hAnsi="Times New Roman"/>
        </w:rPr>
        <w:t>con entre el 300 % y el 500 % del FPL que están aprobados para recibir asistencia financiera (consulte el</w:t>
      </w:r>
      <w:r w:rsidR="00CD355A" w:rsidRPr="00180776">
        <w:rPr>
          <w:rFonts w:ascii="Times New Roman" w:hAnsi="Times New Roman"/>
        </w:rPr>
        <w:t xml:space="preserve"> A</w:t>
      </w:r>
      <w:r w:rsidRPr="00180776">
        <w:rPr>
          <w:rFonts w:ascii="Times New Roman" w:hAnsi="Times New Roman"/>
        </w:rPr>
        <w:t xml:space="preserve">nexo A para ver las tasas).  </w:t>
      </w:r>
    </w:p>
    <w:p w:rsidR="006501D4" w:rsidRPr="00180776" w:rsidRDefault="006501D4" w:rsidP="006501D4">
      <w:pPr>
        <w:autoSpaceDE w:val="0"/>
        <w:autoSpaceDN w:val="0"/>
        <w:adjustRightInd w:val="0"/>
        <w:spacing w:after="0" w:line="240" w:lineRule="auto"/>
        <w:rPr>
          <w:rFonts w:ascii="Times New Roman" w:eastAsia="Times New Roman" w:hAnsi="Times New Roman" w:cs="Times New Roman"/>
        </w:rPr>
      </w:pPr>
    </w:p>
    <w:p w:rsidR="006501D4" w:rsidRPr="00180776" w:rsidRDefault="006501D4" w:rsidP="00CD355A">
      <w:pPr>
        <w:autoSpaceDE w:val="0"/>
        <w:autoSpaceDN w:val="0"/>
        <w:adjustRightInd w:val="0"/>
        <w:spacing w:after="0" w:line="240" w:lineRule="auto"/>
        <w:ind w:left="720" w:hanging="720"/>
        <w:rPr>
          <w:rFonts w:ascii="Times New Roman" w:eastAsia="Times New Roman" w:hAnsi="Times New Roman" w:cs="Times New Roman"/>
        </w:rPr>
      </w:pPr>
      <w:r w:rsidRPr="00180776">
        <w:rPr>
          <w:rFonts w:ascii="Times New Roman" w:hAnsi="Times New Roman"/>
        </w:rPr>
        <w:t xml:space="preserve">29. </w:t>
      </w:r>
      <w:r w:rsidRPr="00180776">
        <w:tab/>
      </w:r>
      <w:r w:rsidRPr="00180776">
        <w:rPr>
          <w:rFonts w:ascii="Times New Roman" w:hAnsi="Times New Roman"/>
        </w:rPr>
        <w:t xml:space="preserve">Los individuos sin seguro por encima del 500 % del FPL y que residen en la zona primaria de servicio </w:t>
      </w:r>
      <w:r w:rsidR="00CD355A" w:rsidRPr="00180776">
        <w:rPr>
          <w:rFonts w:ascii="Times New Roman" w:hAnsi="Times New Roman"/>
        </w:rPr>
        <w:t>d</w:t>
      </w:r>
      <w:r w:rsidRPr="00180776">
        <w:rPr>
          <w:rFonts w:ascii="Times New Roman" w:hAnsi="Times New Roman"/>
        </w:rPr>
        <w:t xml:space="preserve">el Centro Médico que reciben servicios médicamente necesarios o de emergencia son  </w:t>
      </w:r>
    </w:p>
    <w:p w:rsidR="006501D4" w:rsidRPr="00180776" w:rsidRDefault="006501D4" w:rsidP="006501D4">
      <w:pPr>
        <w:autoSpaceDE w:val="0"/>
        <w:autoSpaceDN w:val="0"/>
        <w:adjustRightInd w:val="0"/>
        <w:spacing w:after="0" w:line="240" w:lineRule="auto"/>
        <w:rPr>
          <w:rFonts w:ascii="Times New Roman" w:eastAsia="Times New Roman" w:hAnsi="Times New Roman" w:cs="Times New Roman"/>
        </w:rPr>
      </w:pPr>
      <w:r w:rsidRPr="00180776">
        <w:rPr>
          <w:rFonts w:ascii="Times New Roman" w:hAnsi="Times New Roman"/>
        </w:rPr>
        <w:t xml:space="preserve">         </w:t>
      </w:r>
      <w:r w:rsidRPr="00180776">
        <w:tab/>
      </w:r>
      <w:r w:rsidRPr="00180776">
        <w:rPr>
          <w:rFonts w:ascii="Times New Roman" w:hAnsi="Times New Roman"/>
        </w:rPr>
        <w:t>elegibles para recibir un descuento de cortesía (consulte el Anexo A para ver las tasas).</w:t>
      </w:r>
    </w:p>
    <w:p w:rsidR="006501D4" w:rsidRPr="00180776" w:rsidRDefault="006501D4" w:rsidP="006501D4">
      <w:pPr>
        <w:autoSpaceDE w:val="0"/>
        <w:autoSpaceDN w:val="0"/>
        <w:adjustRightInd w:val="0"/>
        <w:spacing w:after="0" w:line="240" w:lineRule="auto"/>
        <w:rPr>
          <w:rFonts w:ascii="Times New Roman" w:eastAsia="Times New Roman" w:hAnsi="Times New Roman" w:cs="Times New Roman"/>
        </w:rPr>
      </w:pPr>
    </w:p>
    <w:p w:rsidR="001A126E" w:rsidRPr="00180776" w:rsidRDefault="006501D4" w:rsidP="00CD355A">
      <w:pPr>
        <w:autoSpaceDE w:val="0"/>
        <w:autoSpaceDN w:val="0"/>
        <w:adjustRightInd w:val="0"/>
        <w:spacing w:after="0" w:line="240" w:lineRule="auto"/>
        <w:ind w:left="720" w:hanging="720"/>
        <w:rPr>
          <w:rFonts w:ascii="Times New Roman" w:hAnsi="Times New Roman" w:cs="Times New Roman"/>
        </w:rPr>
      </w:pPr>
      <w:r w:rsidRPr="00180776">
        <w:rPr>
          <w:rFonts w:ascii="Times New Roman" w:hAnsi="Times New Roman"/>
        </w:rPr>
        <w:t xml:space="preserve">30. </w:t>
      </w:r>
      <w:r w:rsidRPr="00180776">
        <w:tab/>
      </w:r>
      <w:r w:rsidRPr="00180776">
        <w:rPr>
          <w:rFonts w:ascii="Times New Roman" w:hAnsi="Times New Roman"/>
        </w:rPr>
        <w:t xml:space="preserve">El Centro Médico utiliza retroactivo para calcular el monto general </w:t>
      </w:r>
      <w:r w:rsidR="001A126E" w:rsidRPr="00180776">
        <w:rPr>
          <w:rFonts w:ascii="Times New Roman" w:hAnsi="Times New Roman"/>
        </w:rPr>
        <w:t xml:space="preserve">facturado.  Las tasas de asistencia financiera y los Montos Generalmente Facturados (AGB, </w:t>
      </w:r>
      <w:r w:rsidR="001A126E" w:rsidRPr="00180776">
        <w:rPr>
          <w:rFonts w:ascii="Times New Roman" w:hAnsi="Times New Roman"/>
          <w:i/>
        </w:rPr>
        <w:t>Amount Generally Billed</w:t>
      </w:r>
      <w:r w:rsidR="001A126E" w:rsidRPr="00180776">
        <w:rPr>
          <w:rFonts w:ascii="Times New Roman" w:hAnsi="Times New Roman"/>
        </w:rPr>
        <w:t xml:space="preserve">) deben evaluarse para el </w:t>
      </w:r>
      <w:r w:rsidR="001A126E" w:rsidRPr="00180776">
        <w:tab/>
      </w:r>
      <w:r w:rsidR="001A126E" w:rsidRPr="00180776">
        <w:rPr>
          <w:rFonts w:ascii="Times New Roman" w:hAnsi="Times New Roman"/>
        </w:rPr>
        <w:t>30 de abril de cada año calendario.  Las tasas de Medicare y de los pagadores</w:t>
      </w:r>
      <w:r w:rsidR="00CD355A" w:rsidRPr="00180776">
        <w:rPr>
          <w:rFonts w:ascii="Times New Roman" w:hAnsi="Times New Roman"/>
        </w:rPr>
        <w:t xml:space="preserve"> comerciales se utilizan en el</w:t>
      </w:r>
      <w:r w:rsidR="00173CD4" w:rsidRPr="00180776">
        <w:rPr>
          <w:rFonts w:ascii="Times New Roman" w:hAnsi="Times New Roman"/>
        </w:rPr>
        <w:t xml:space="preserve"> cálculo del AGB. El porcentaje de AGB está disponib</w:t>
      </w:r>
      <w:r w:rsidR="00CD355A" w:rsidRPr="00180776">
        <w:rPr>
          <w:rFonts w:ascii="Times New Roman" w:hAnsi="Times New Roman"/>
        </w:rPr>
        <w:t xml:space="preserve">le a pedido en cualquiera de </w:t>
      </w:r>
      <w:r w:rsidR="00173CD4" w:rsidRPr="00180776">
        <w:rPr>
          <w:rFonts w:ascii="Times New Roman" w:hAnsi="Times New Roman"/>
        </w:rPr>
        <w:t xml:space="preserve">las sedes de asistencia financiera. </w:t>
      </w:r>
      <w:r w:rsidR="00173CD4" w:rsidRPr="00180776">
        <w:rPr>
          <w:rFonts w:ascii="Times New Roman" w:hAnsi="Times New Roman"/>
          <w:color w:val="000000"/>
        </w:rPr>
        <w:t>Luego de tomar la determinación de la elegibilidad para Asistencia Financiera, no se</w:t>
      </w:r>
      <w:r w:rsidR="00CD355A" w:rsidRPr="00180776">
        <w:rPr>
          <w:rFonts w:ascii="Times New Roman" w:hAnsi="Times New Roman"/>
          <w:color w:val="000000"/>
        </w:rPr>
        <w:t xml:space="preserve"> </w:t>
      </w:r>
      <w:r w:rsidR="00173CD4" w:rsidRPr="00180776">
        <w:rPr>
          <w:rFonts w:ascii="Times New Roman" w:hAnsi="Times New Roman"/>
          <w:color w:val="000000"/>
        </w:rPr>
        <w:t xml:space="preserve">podrá cobrar a un individuo elegible un monto superior al generalmente facturado por servicios de emergencia o médicamente necesarios. </w:t>
      </w:r>
    </w:p>
    <w:p w:rsidR="001A126E" w:rsidRPr="00180776" w:rsidRDefault="001A126E" w:rsidP="001A126E">
      <w:pPr>
        <w:autoSpaceDE w:val="0"/>
        <w:autoSpaceDN w:val="0"/>
        <w:adjustRightInd w:val="0"/>
        <w:spacing w:after="0" w:line="240" w:lineRule="auto"/>
        <w:rPr>
          <w:rFonts w:ascii="Times New Roman" w:eastAsia="Times New Roman" w:hAnsi="Times New Roman" w:cs="Times New Roman"/>
          <w:color w:val="000000"/>
        </w:rPr>
      </w:pPr>
      <w:r w:rsidRPr="00180776">
        <w:rPr>
          <w:rFonts w:ascii="Times New Roman" w:hAnsi="Times New Roman"/>
          <w:color w:val="000000"/>
        </w:rPr>
        <w:t xml:space="preserve">         </w:t>
      </w:r>
    </w:p>
    <w:p w:rsidR="001A126E" w:rsidRPr="00180776" w:rsidRDefault="001A126E" w:rsidP="001A126E">
      <w:pPr>
        <w:autoSpaceDE w:val="0"/>
        <w:autoSpaceDN w:val="0"/>
        <w:adjustRightInd w:val="0"/>
        <w:spacing w:after="0" w:line="240" w:lineRule="auto"/>
        <w:rPr>
          <w:rFonts w:ascii="Times New Roman" w:eastAsia="Times New Roman" w:hAnsi="Times New Roman" w:cs="Times New Roman"/>
          <w:color w:val="000000"/>
        </w:rPr>
      </w:pPr>
    </w:p>
    <w:p w:rsidR="001A126E" w:rsidRPr="00180776" w:rsidRDefault="001A126E" w:rsidP="00CD355A">
      <w:pPr>
        <w:autoSpaceDE w:val="0"/>
        <w:autoSpaceDN w:val="0"/>
        <w:adjustRightInd w:val="0"/>
        <w:spacing w:after="0" w:line="240" w:lineRule="auto"/>
        <w:ind w:left="720"/>
        <w:rPr>
          <w:rFonts w:ascii="Times New Roman" w:eastAsia="Times New Roman" w:hAnsi="Times New Roman" w:cs="Times New Roman"/>
          <w:color w:val="000000"/>
        </w:rPr>
      </w:pPr>
      <w:r w:rsidRPr="00180776">
        <w:rPr>
          <w:rFonts w:ascii="Times New Roman" w:hAnsi="Times New Roman"/>
          <w:color w:val="000000"/>
        </w:rPr>
        <w:t xml:space="preserve">Se ofrece una comparación del porcentaje de AGB con la tasa de la categoría de ayuda financiera para los pacientes que se encuentran al 100 % del FPL o por debajo de este, y hasta el 500 % del FPL.  La cantidad máxima por </w:t>
      </w:r>
      <w:r w:rsidR="00CD355A" w:rsidRPr="00180776">
        <w:rPr>
          <w:rFonts w:ascii="Times New Roman" w:hAnsi="Times New Roman"/>
          <w:color w:val="000000"/>
        </w:rPr>
        <w:t>S</w:t>
      </w:r>
      <w:r w:rsidRPr="00180776">
        <w:rPr>
          <w:rFonts w:ascii="Times New Roman" w:hAnsi="Times New Roman"/>
          <w:color w:val="000000"/>
        </w:rPr>
        <w:t>ervicios Hospitalarios en el Anexo A es la siguiente (hasta el 500 % del FPL):</w:t>
      </w:r>
    </w:p>
    <w:p w:rsidR="001A126E" w:rsidRPr="00180776" w:rsidRDefault="001A126E" w:rsidP="001A126E">
      <w:pPr>
        <w:autoSpaceDE w:val="0"/>
        <w:autoSpaceDN w:val="0"/>
        <w:adjustRightInd w:val="0"/>
        <w:spacing w:after="0" w:line="240" w:lineRule="auto"/>
        <w:rPr>
          <w:rFonts w:ascii="Times New Roman" w:eastAsia="Times New Roman" w:hAnsi="Times New Roman" w:cs="Times New Roman"/>
          <w:color w:val="000000"/>
        </w:rPr>
      </w:pPr>
    </w:p>
    <w:p w:rsidR="001A126E" w:rsidRPr="00180776"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sidRPr="00180776">
        <w:rPr>
          <w:rFonts w:ascii="Times New Roman" w:hAnsi="Times New Roman"/>
          <w:color w:val="000000"/>
        </w:rPr>
        <w:t xml:space="preserve">La tasa de visitas al servicio de urgencias no debe exceder el </w:t>
      </w:r>
      <w:r w:rsidR="00692FEA">
        <w:rPr>
          <w:rFonts w:ascii="Times New Roman" w:hAnsi="Times New Roman"/>
          <w:color w:val="000000"/>
        </w:rPr>
        <w:t>26</w:t>
      </w:r>
      <w:r w:rsidRPr="00180776">
        <w:rPr>
          <w:rFonts w:ascii="Times New Roman" w:hAnsi="Times New Roman"/>
          <w:color w:val="000000"/>
        </w:rPr>
        <w:t> % de los cargos hospitalarios efectuados.</w:t>
      </w:r>
    </w:p>
    <w:p w:rsidR="001A126E" w:rsidRPr="009A2312"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spacing w:val="-6"/>
        </w:rPr>
      </w:pPr>
      <w:r w:rsidRPr="009A2312">
        <w:rPr>
          <w:rFonts w:ascii="Times New Roman" w:hAnsi="Times New Roman"/>
          <w:color w:val="000000"/>
          <w:spacing w:val="-6"/>
        </w:rPr>
        <w:t xml:space="preserve">La tasa de cirugía ambulatoria no debe exceder el 33 % de los cargos hospitalarios efectuados.  </w:t>
      </w:r>
    </w:p>
    <w:p w:rsidR="001A126E" w:rsidRPr="00180776"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sidRPr="00180776">
        <w:rPr>
          <w:rFonts w:ascii="Times New Roman" w:hAnsi="Times New Roman"/>
          <w:color w:val="000000"/>
        </w:rPr>
        <w:t xml:space="preserve">La tasa de tratamientos médicos oncológicos no debe exceder el </w:t>
      </w:r>
      <w:r w:rsidR="00692FEA">
        <w:rPr>
          <w:rFonts w:ascii="Times New Roman" w:hAnsi="Times New Roman"/>
          <w:color w:val="000000"/>
        </w:rPr>
        <w:t>37</w:t>
      </w:r>
      <w:r w:rsidRPr="00180776">
        <w:rPr>
          <w:rFonts w:ascii="Times New Roman" w:hAnsi="Times New Roman"/>
          <w:color w:val="000000"/>
        </w:rPr>
        <w:t xml:space="preserve"> % de los cargos hospitalarios efectuados. </w:t>
      </w:r>
    </w:p>
    <w:p w:rsidR="001A126E" w:rsidRPr="00180776"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sidRPr="00180776">
        <w:rPr>
          <w:rFonts w:ascii="Times New Roman" w:hAnsi="Times New Roman"/>
          <w:color w:val="000000"/>
        </w:rPr>
        <w:t>Las tasas de visitas clínicas/patológicas/renales/de análisis radiológicos/tratamientos con radiación no deben exceder el 3</w:t>
      </w:r>
      <w:r w:rsidR="00692FEA">
        <w:rPr>
          <w:rFonts w:ascii="Times New Roman" w:hAnsi="Times New Roman"/>
          <w:color w:val="000000"/>
        </w:rPr>
        <w:t>7</w:t>
      </w:r>
      <w:r w:rsidRPr="00180776">
        <w:rPr>
          <w:rFonts w:ascii="Times New Roman" w:hAnsi="Times New Roman"/>
          <w:color w:val="000000"/>
        </w:rPr>
        <w:t xml:space="preserve"> % de los cargos hospitalarios efectuados. </w:t>
      </w:r>
    </w:p>
    <w:p w:rsidR="001A126E" w:rsidRPr="00180776" w:rsidRDefault="001A126E" w:rsidP="001A126E">
      <w:pPr>
        <w:numPr>
          <w:ilvl w:val="0"/>
          <w:numId w:val="23"/>
        </w:numPr>
        <w:autoSpaceDE w:val="0"/>
        <w:autoSpaceDN w:val="0"/>
        <w:adjustRightInd w:val="0"/>
        <w:spacing w:after="0" w:line="240" w:lineRule="auto"/>
        <w:rPr>
          <w:rFonts w:ascii="Times New Roman" w:eastAsia="Times New Roman" w:hAnsi="Times New Roman" w:cs="Times New Roman"/>
          <w:color w:val="000000"/>
        </w:rPr>
      </w:pPr>
      <w:r w:rsidRPr="00180776">
        <w:rPr>
          <w:rFonts w:ascii="Times New Roman" w:hAnsi="Times New Roman"/>
          <w:color w:val="000000"/>
        </w:rPr>
        <w:t xml:space="preserve">La tasa de admisión para internación hospitalaria de emergencia no debe exceder el </w:t>
      </w:r>
      <w:r w:rsidR="00692FEA">
        <w:rPr>
          <w:rFonts w:ascii="Times New Roman" w:hAnsi="Times New Roman"/>
          <w:color w:val="000000"/>
        </w:rPr>
        <w:t>38</w:t>
      </w:r>
      <w:r w:rsidRPr="00180776">
        <w:rPr>
          <w:rFonts w:ascii="Times New Roman" w:hAnsi="Times New Roman"/>
          <w:color w:val="000000"/>
        </w:rPr>
        <w:t>% de los cargos hospitalarios efectuados.</w:t>
      </w:r>
    </w:p>
    <w:p w:rsidR="006501D4" w:rsidRPr="00180776" w:rsidRDefault="006501D4" w:rsidP="001A126E">
      <w:pPr>
        <w:autoSpaceDE w:val="0"/>
        <w:autoSpaceDN w:val="0"/>
        <w:adjustRightInd w:val="0"/>
        <w:spacing w:after="0" w:line="240" w:lineRule="auto"/>
        <w:ind w:left="720" w:hanging="720"/>
        <w:rPr>
          <w:rFonts w:ascii="Times New Roman" w:eastAsia="Times New Roman" w:hAnsi="Times New Roman" w:cs="Times New Roman"/>
        </w:rPr>
      </w:pPr>
    </w:p>
    <w:p w:rsidR="00DA6DDF" w:rsidRPr="00180776" w:rsidRDefault="006501D4" w:rsidP="009A2312">
      <w:pPr>
        <w:autoSpaceDE w:val="0"/>
        <w:autoSpaceDN w:val="0"/>
        <w:adjustRightInd w:val="0"/>
        <w:ind w:left="1080" w:hanging="990"/>
        <w:contextualSpacing/>
        <w:rPr>
          <w:rFonts w:ascii="Times New Roman" w:hAnsi="Times New Roman"/>
        </w:rPr>
      </w:pPr>
      <w:r w:rsidRPr="00180776">
        <w:rPr>
          <w:rFonts w:ascii="Times New Roman" w:hAnsi="Times New Roman"/>
        </w:rPr>
        <w:t xml:space="preserve">31.       </w:t>
      </w:r>
      <w:r w:rsidR="009A2312">
        <w:rPr>
          <w:rFonts w:ascii="Times New Roman" w:hAnsi="Times New Roman"/>
        </w:rPr>
        <w:tab/>
      </w:r>
      <w:r w:rsidRPr="00180776">
        <w:rPr>
          <w:rFonts w:ascii="Times New Roman" w:hAnsi="Times New Roman"/>
        </w:rPr>
        <w:t xml:space="preserve">La lista de proveedores (que es una lista de los proveedores que no son hospitales) que </w:t>
      </w:r>
      <w:r w:rsidR="00CD355A" w:rsidRPr="00180776">
        <w:rPr>
          <w:rFonts w:ascii="Times New Roman" w:hAnsi="Times New Roman"/>
        </w:rPr>
        <w:br/>
        <w:t xml:space="preserve">proporcionan servicios de emergencia </w:t>
      </w:r>
      <w:r w:rsidR="005230B0" w:rsidRPr="00180776">
        <w:rPr>
          <w:rFonts w:ascii="Times New Roman" w:hAnsi="Times New Roman"/>
        </w:rPr>
        <w:t>y atención médicamente nec</w:t>
      </w:r>
      <w:r w:rsidR="009A2312">
        <w:rPr>
          <w:rFonts w:ascii="Times New Roman" w:hAnsi="Times New Roman"/>
        </w:rPr>
        <w:t xml:space="preserve">esaria en las instalaciones del </w:t>
      </w:r>
      <w:r w:rsidR="00CD355A" w:rsidRPr="00180776">
        <w:rPr>
          <w:rFonts w:ascii="Times New Roman" w:hAnsi="Times New Roman"/>
        </w:rPr>
        <w:t>hospital. En la lista, se muestra si los proveedores están</w:t>
      </w:r>
      <w:r w:rsidR="005230B0" w:rsidRPr="00180776">
        <w:rPr>
          <w:rFonts w:ascii="Times New Roman" w:hAnsi="Times New Roman"/>
        </w:rPr>
        <w:t xml:space="preserve"> cubiertos por la política de asistencia financiera o no. </w:t>
      </w:r>
      <w:r w:rsidR="00335BBF" w:rsidRPr="00180776">
        <w:rPr>
          <w:rFonts w:ascii="Times New Roman" w:hAnsi="Times New Roman"/>
          <w:vanish/>
          <w:color w:val="1F497D"/>
        </w:rPr>
        <w:t>Una lista de proveedores (que es una lista de los proveedores que no son hospitales) que proporcionan servicios de emergencia y atención médicamente necesaria en las instalaciones del</w:t>
      </w:r>
      <w:r w:rsidR="00247B21" w:rsidRPr="00180776">
        <w:rPr>
          <w:rFonts w:ascii="Times New Roman" w:hAnsi="Times New Roman"/>
          <w:vanish/>
          <w:color w:val="1F497D"/>
        </w:rPr>
        <w:t xml:space="preserve"> </w:t>
      </w:r>
      <w:r w:rsidR="00335BBF" w:rsidRPr="00180776">
        <w:rPr>
          <w:rFonts w:ascii="Times New Roman" w:hAnsi="Times New Roman"/>
          <w:vanish/>
          <w:color w:val="1F497D"/>
        </w:rPr>
        <w:t>hospital</w:t>
      </w:r>
      <w:r w:rsidR="005230B0" w:rsidRPr="00180776">
        <w:rPr>
          <w:rFonts w:ascii="Times New Roman" w:hAnsi="Times New Roman"/>
          <w:vanish/>
          <w:color w:val="1F497D"/>
        </w:rPr>
        <w:t xml:space="preserve"> </w:t>
      </w:r>
      <w:r w:rsidR="00335BBF" w:rsidRPr="00180776">
        <w:rPr>
          <w:rFonts w:ascii="Times New Roman" w:hAnsi="Times New Roman"/>
          <w:vanish/>
          <w:color w:val="1F497D"/>
        </w:rPr>
        <w:t>y</w:t>
      </w:r>
      <w:r w:rsidR="005230B0" w:rsidRPr="00180776">
        <w:rPr>
          <w:rFonts w:ascii="Times New Roman" w:hAnsi="Times New Roman"/>
          <w:vanish/>
          <w:color w:val="1F497D"/>
        </w:rPr>
        <w:t xml:space="preserve"> </w:t>
      </w:r>
      <w:r w:rsidR="00335BBF" w:rsidRPr="00180776">
        <w:rPr>
          <w:rFonts w:ascii="Times New Roman" w:hAnsi="Times New Roman"/>
          <w:vanish/>
          <w:color w:val="1F497D"/>
        </w:rPr>
        <w:t>si estos proveedores</w:t>
      </w:r>
      <w:r w:rsidR="005230B0" w:rsidRPr="00180776">
        <w:rPr>
          <w:rFonts w:ascii="Times New Roman" w:hAnsi="Times New Roman"/>
          <w:vanish/>
          <w:color w:val="1F497D"/>
        </w:rPr>
        <w:t xml:space="preserve"> </w:t>
      </w:r>
      <w:r w:rsidR="00335BBF" w:rsidRPr="00180776">
        <w:rPr>
          <w:rFonts w:ascii="Times New Roman" w:hAnsi="Times New Roman"/>
          <w:vanish/>
          <w:color w:val="1F497D"/>
        </w:rPr>
        <w:t>están cubiertos por la política de asistencia financiera o no. Una lista de proveedores (que es una lista de los proveedores que no son hospitales) que proporcionan servicios de emergencia y atención médicamente necesaria en las instalaciones del</w:t>
      </w:r>
      <w:r w:rsidR="00247B21" w:rsidRPr="00180776">
        <w:rPr>
          <w:rFonts w:ascii="Times New Roman" w:hAnsi="Times New Roman"/>
          <w:vanish/>
          <w:color w:val="1F497D"/>
        </w:rPr>
        <w:t xml:space="preserve"> </w:t>
      </w:r>
      <w:r w:rsidR="00335BBF" w:rsidRPr="00180776">
        <w:rPr>
          <w:rFonts w:ascii="Times New Roman" w:hAnsi="Times New Roman"/>
          <w:vanish/>
          <w:color w:val="1F497D"/>
        </w:rPr>
        <w:t>hospital y si estos proveedores están cubiertos por la política de asistencia financiera o no. Una lista de proveedores (que es una lista de los proveedores que no son hospitales) que proporcionan servicios de emergencia y atención médicamente necesaria en las instalaciones del</w:t>
      </w:r>
      <w:r w:rsidR="00247B21" w:rsidRPr="00180776">
        <w:rPr>
          <w:rFonts w:ascii="Times New Roman" w:hAnsi="Times New Roman"/>
          <w:vanish/>
          <w:color w:val="1F497D"/>
        </w:rPr>
        <w:t xml:space="preserve"> </w:t>
      </w:r>
      <w:r w:rsidR="00335BBF" w:rsidRPr="00180776">
        <w:rPr>
          <w:rFonts w:ascii="Times New Roman" w:hAnsi="Times New Roman"/>
          <w:vanish/>
          <w:color w:val="1F497D"/>
        </w:rPr>
        <w:t>hospital y si estos proveedores están cubiertos por la política de asistencia financiera o no</w:t>
      </w:r>
      <w:r w:rsidR="005230B0" w:rsidRPr="00180776">
        <w:rPr>
          <w:rFonts w:ascii="Times New Roman" w:hAnsi="Times New Roman"/>
          <w:vanish/>
          <w:color w:val="1F497D"/>
        </w:rPr>
        <w:t>.</w:t>
      </w:r>
      <w:r w:rsidR="00247B21" w:rsidRPr="00180776">
        <w:rPr>
          <w:rFonts w:ascii="Times New Roman" w:hAnsi="Times New Roman"/>
          <w:vanish/>
          <w:color w:val="1F497D"/>
        </w:rPr>
        <w:t xml:space="preserve"> </w:t>
      </w:r>
      <w:r w:rsidR="005230B0" w:rsidRPr="00180776">
        <w:rPr>
          <w:rFonts w:ascii="Times New Roman" w:hAnsi="Times New Roman"/>
        </w:rPr>
        <w:t>Es un anexo separado y se actualiza cada tres meses. Los pacientes pueden encontrar una copia en el sit</w:t>
      </w:r>
      <w:r w:rsidR="00AE004A" w:rsidRPr="00180776">
        <w:rPr>
          <w:rFonts w:ascii="Times New Roman" w:hAnsi="Times New Roman"/>
        </w:rPr>
        <w:t xml:space="preserve">io web de asistencia financiera </w:t>
      </w:r>
      <w:r w:rsidR="00DA6DDF" w:rsidRPr="00180776">
        <w:rPr>
          <w:rFonts w:ascii="Times New Roman" w:hAnsi="Times New Roman"/>
        </w:rPr>
        <w:t xml:space="preserve"> </w:t>
      </w:r>
    </w:p>
    <w:p w:rsidR="000F4193" w:rsidRPr="00180776" w:rsidRDefault="008A7C43" w:rsidP="00DA6DDF">
      <w:pPr>
        <w:autoSpaceDE w:val="0"/>
        <w:autoSpaceDN w:val="0"/>
        <w:adjustRightInd w:val="0"/>
        <w:ind w:left="1095"/>
        <w:contextualSpacing/>
        <w:rPr>
          <w:rFonts w:ascii="Times New Roman" w:eastAsia="Times New Roman" w:hAnsi="Times New Roman" w:cs="Times New Roman"/>
        </w:rPr>
      </w:pPr>
      <w:hyperlink r:id="rId14">
        <w:r w:rsidR="005230B0" w:rsidRPr="00180776">
          <w:rPr>
            <w:rFonts w:ascii="Times New Roman" w:hAnsi="Times New Roman"/>
            <w:color w:val="0000FF"/>
            <w:u w:val="single"/>
          </w:rPr>
          <w:t>http://www.montefiorehealthsystem.org/body.cfm?id=69</w:t>
        </w:r>
      </w:hyperlink>
      <w:r w:rsidR="005230B0" w:rsidRPr="00180776">
        <w:rPr>
          <w:rFonts w:ascii="Times New Roman" w:hAnsi="Times New Roman"/>
          <w:u w:val="single"/>
        </w:rPr>
        <w:t xml:space="preserve"> </w:t>
      </w:r>
      <w:r w:rsidR="005230B0" w:rsidRPr="00180776">
        <w:rPr>
          <w:rFonts w:ascii="Times New Roman" w:hAnsi="Times New Roman"/>
        </w:rPr>
        <w:t xml:space="preserve"> o pueden solicitar una copia i</w:t>
      </w:r>
      <w:r w:rsidR="00CD355A" w:rsidRPr="00180776">
        <w:rPr>
          <w:rFonts w:ascii="Times New Roman" w:hAnsi="Times New Roman"/>
        </w:rPr>
        <w:t xml:space="preserve">mpresa sin cargo contactándose </w:t>
      </w:r>
      <w:r w:rsidR="005230B0" w:rsidRPr="00180776">
        <w:rPr>
          <w:rFonts w:ascii="Times New Roman" w:hAnsi="Times New Roman"/>
        </w:rPr>
        <w:t>con las oficinas de asistencia financiera ubicadas en</w:t>
      </w:r>
      <w:r w:rsidR="00AE004A" w:rsidRPr="00180776">
        <w:rPr>
          <w:rFonts w:ascii="Times New Roman" w:hAnsi="Times New Roman"/>
        </w:rPr>
        <w:t xml:space="preserve">: </w:t>
      </w:r>
      <w:r w:rsidR="00AE004A" w:rsidRPr="00180776">
        <w:rPr>
          <w:rFonts w:ascii="Times New Roman" w:hAnsi="Times New Roman"/>
        </w:rPr>
        <w:br/>
      </w:r>
    </w:p>
    <w:p w:rsidR="006501D4" w:rsidRPr="00180776" w:rsidRDefault="007F5668" w:rsidP="009A2312">
      <w:pPr>
        <w:tabs>
          <w:tab w:val="left" w:pos="1080"/>
        </w:tabs>
        <w:spacing w:after="0" w:line="240" w:lineRule="auto"/>
        <w:rPr>
          <w:rFonts w:ascii="Times New Roman" w:eastAsia="Times New Roman" w:hAnsi="Times New Roman" w:cs="Times New Roman"/>
        </w:rPr>
      </w:pPr>
      <w:r w:rsidRPr="00180776">
        <w:rPr>
          <w:rFonts w:ascii="Times New Roman" w:hAnsi="Times New Roman"/>
        </w:rPr>
        <w:t xml:space="preserve">           </w:t>
      </w:r>
      <w:r w:rsidR="009A2312">
        <w:rPr>
          <w:rFonts w:ascii="Times New Roman" w:hAnsi="Times New Roman"/>
        </w:rPr>
        <w:tab/>
      </w:r>
      <w:r w:rsidRPr="00180776">
        <w:rPr>
          <w:rFonts w:ascii="Times New Roman" w:hAnsi="Times New Roman"/>
        </w:rPr>
        <w:t>12 North 7</w:t>
      </w:r>
      <w:r w:rsidRPr="00180776">
        <w:rPr>
          <w:rFonts w:ascii="Times New Roman" w:hAnsi="Times New Roman"/>
          <w:vertAlign w:val="superscript"/>
        </w:rPr>
        <w:t>th</w:t>
      </w:r>
      <w:r w:rsidRPr="00180776">
        <w:rPr>
          <w:rFonts w:ascii="Times New Roman" w:hAnsi="Times New Roman"/>
        </w:rPr>
        <w:t xml:space="preserve"> </w:t>
      </w:r>
      <w:proofErr w:type="spellStart"/>
      <w:r w:rsidRPr="00180776">
        <w:rPr>
          <w:rFonts w:ascii="Times New Roman" w:hAnsi="Times New Roman"/>
        </w:rPr>
        <w:t>Avenue</w:t>
      </w:r>
      <w:proofErr w:type="spellEnd"/>
      <w:r w:rsidRPr="00180776">
        <w:rPr>
          <w:rFonts w:ascii="Times New Roman" w:hAnsi="Times New Roman"/>
        </w:rPr>
        <w:t xml:space="preserve"> Mt. Vernon, NY 10551 </w:t>
      </w:r>
      <w:r w:rsidR="00AE004A" w:rsidRPr="00180776">
        <w:rPr>
          <w:rFonts w:ascii="Times New Roman" w:hAnsi="Times New Roman"/>
        </w:rPr>
        <w:t xml:space="preserve">- </w:t>
      </w:r>
      <w:r w:rsidRPr="00180776">
        <w:rPr>
          <w:rFonts w:ascii="Times New Roman" w:hAnsi="Times New Roman"/>
        </w:rPr>
        <w:t>Oficina Principal de Cajeros 914-361-6899</w:t>
      </w:r>
    </w:p>
    <w:p w:rsidR="006501D4" w:rsidRPr="00180776" w:rsidRDefault="006501D4" w:rsidP="006501D4">
      <w:pPr>
        <w:autoSpaceDE w:val="0"/>
        <w:autoSpaceDN w:val="0"/>
        <w:adjustRightInd w:val="0"/>
        <w:spacing w:after="0" w:line="240" w:lineRule="auto"/>
        <w:ind w:left="1260"/>
        <w:rPr>
          <w:rFonts w:ascii="Times New Roman" w:eastAsia="Times New Roman" w:hAnsi="Times New Roman" w:cs="Times New Roman"/>
        </w:rPr>
      </w:pPr>
    </w:p>
    <w:p w:rsidR="000F4193" w:rsidRPr="00180776" w:rsidRDefault="006501D4" w:rsidP="007339A9">
      <w:pPr>
        <w:tabs>
          <w:tab w:val="left" w:pos="-360"/>
          <w:tab w:val="left" w:pos="0"/>
        </w:tabs>
        <w:spacing w:after="0" w:line="240" w:lineRule="auto"/>
        <w:ind w:left="-90" w:hanging="180"/>
        <w:rPr>
          <w:rFonts w:ascii="Times New Roman" w:eastAsia="Times New Roman" w:hAnsi="Times New Roman" w:cs="Times New Roman"/>
        </w:rPr>
      </w:pPr>
      <w:r w:rsidRPr="00180776">
        <w:rPr>
          <w:rFonts w:ascii="Times New Roman" w:hAnsi="Times New Roman"/>
        </w:rPr>
        <w:t xml:space="preserve">  </w:t>
      </w:r>
      <w:r w:rsidRPr="00180776">
        <w:rPr>
          <w:rFonts w:ascii="Times New Roman" w:hAnsi="Times New Roman"/>
          <w:color w:val="FFFF00"/>
        </w:rPr>
        <w:t xml:space="preserve"> </w:t>
      </w:r>
      <w:r w:rsidRPr="00180776">
        <w:rPr>
          <w:rFonts w:ascii="Times New Roman" w:hAnsi="Times New Roman"/>
        </w:rPr>
        <w:t xml:space="preserve">Cualquier excepción a los límites anteriores se efectuará caso por caso y requerirá la aprobación del vicepresidente asociado del Departamento de Cobro de Servicios Médicos; del vicepresidente de Servicios Profesionales o </w:t>
      </w:r>
      <w:r w:rsidR="00AE004A" w:rsidRPr="00180776">
        <w:rPr>
          <w:rFonts w:ascii="Times New Roman" w:hAnsi="Times New Roman"/>
        </w:rPr>
        <w:t>del vicepresidente de Finanzas.</w:t>
      </w:r>
      <w:r w:rsidRPr="00180776">
        <w:rPr>
          <w:rFonts w:ascii="Times New Roman" w:hAnsi="Times New Roman"/>
        </w:rPr>
        <w:t xml:space="preserve"> En la aplicación de esta política, la gestión y las instalaciones del Centro Médico deberán cumplir con todas las demás leyes, normas y regulaciones federales, estaduales o locales que puedan aplicarse a las actividades realizadas en virtud de esta política.</w:t>
      </w:r>
    </w:p>
    <w:p w:rsidR="000F4193" w:rsidRDefault="000F4193" w:rsidP="007339A9">
      <w:pPr>
        <w:tabs>
          <w:tab w:val="left" w:pos="-360"/>
          <w:tab w:val="left" w:pos="0"/>
        </w:tabs>
        <w:spacing w:after="0" w:line="240" w:lineRule="auto"/>
        <w:rPr>
          <w:rFonts w:ascii="Times New Roman" w:eastAsia="Times New Roman" w:hAnsi="Times New Roman" w:cs="Times New Roman"/>
        </w:rPr>
      </w:pPr>
    </w:p>
    <w:p w:rsidR="003E6ED6" w:rsidRDefault="003E6ED6" w:rsidP="003E6ED6">
      <w:pPr>
        <w:widowControl w:val="0"/>
        <w:spacing w:after="0" w:line="240" w:lineRule="auto"/>
        <w:ind w:left="1440"/>
        <w:jc w:val="center"/>
        <w:rPr>
          <w:rFonts w:ascii="Times New Roman" w:hAnsi="Times New Roman"/>
          <w:b/>
          <w:snapToGrid w:val="0"/>
          <w:sz w:val="28"/>
        </w:rPr>
      </w:pPr>
    </w:p>
    <w:p w:rsidR="003E6ED6" w:rsidRDefault="003E6ED6" w:rsidP="003E6ED6">
      <w:pPr>
        <w:widowControl w:val="0"/>
        <w:spacing w:after="0" w:line="240" w:lineRule="auto"/>
        <w:ind w:left="1440"/>
        <w:jc w:val="center"/>
        <w:rPr>
          <w:rFonts w:ascii="Times New Roman" w:hAnsi="Times New Roman"/>
          <w:b/>
          <w:snapToGrid w:val="0"/>
          <w:sz w:val="28"/>
        </w:rPr>
      </w:pPr>
    </w:p>
    <w:p w:rsidR="003E6ED6" w:rsidRDefault="003E6ED6" w:rsidP="003E6ED6">
      <w:pPr>
        <w:widowControl w:val="0"/>
        <w:spacing w:after="0" w:line="240" w:lineRule="auto"/>
        <w:ind w:left="1440"/>
        <w:jc w:val="center"/>
        <w:rPr>
          <w:rFonts w:ascii="Times New Roman" w:hAnsi="Times New Roman"/>
          <w:b/>
          <w:snapToGrid w:val="0"/>
          <w:sz w:val="28"/>
        </w:rPr>
      </w:pPr>
    </w:p>
    <w:p w:rsidR="003E6ED6" w:rsidRDefault="003E6ED6" w:rsidP="003E6ED6">
      <w:pPr>
        <w:widowControl w:val="0"/>
        <w:spacing w:after="0" w:line="240" w:lineRule="auto"/>
        <w:ind w:left="1440"/>
        <w:jc w:val="center"/>
        <w:rPr>
          <w:rFonts w:ascii="Times New Roman" w:hAnsi="Times New Roman"/>
          <w:b/>
          <w:snapToGrid w:val="0"/>
          <w:sz w:val="28"/>
        </w:rPr>
      </w:pPr>
    </w:p>
    <w:tbl>
      <w:tblPr>
        <w:tblpPr w:leftFromText="180" w:rightFromText="180" w:vertAnchor="text" w:horzAnchor="margin" w:tblpXSpec="center" w:tblpY="496"/>
        <w:tblW w:w="10860" w:type="dxa"/>
        <w:tblLayout w:type="fixed"/>
        <w:tblLook w:val="00A0" w:firstRow="1" w:lastRow="0" w:firstColumn="1" w:lastColumn="0" w:noHBand="0" w:noVBand="0"/>
      </w:tblPr>
      <w:tblGrid>
        <w:gridCol w:w="967"/>
        <w:gridCol w:w="856"/>
        <w:gridCol w:w="856"/>
        <w:gridCol w:w="856"/>
        <w:gridCol w:w="856"/>
        <w:gridCol w:w="856"/>
        <w:gridCol w:w="856"/>
        <w:gridCol w:w="979"/>
        <w:gridCol w:w="956"/>
        <w:gridCol w:w="959"/>
        <w:gridCol w:w="894"/>
        <w:gridCol w:w="969"/>
      </w:tblGrid>
      <w:tr w:rsidR="008A7C43" w:rsidRPr="008A7C43" w:rsidTr="008A7C43">
        <w:trPr>
          <w:trHeight w:val="215"/>
        </w:trPr>
        <w:tc>
          <w:tcPr>
            <w:tcW w:w="967" w:type="dxa"/>
            <w:tcBorders>
              <w:top w:val="single" w:sz="8" w:space="0" w:color="auto"/>
              <w:left w:val="single" w:sz="8" w:space="0" w:color="auto"/>
              <w:bottom w:val="nil"/>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eastAsia="zh-CN" w:bidi="ar-SA"/>
              </w:rPr>
            </w:pPr>
          </w:p>
        </w:tc>
        <w:tc>
          <w:tcPr>
            <w:tcW w:w="7071" w:type="dxa"/>
            <w:gridSpan w:val="8"/>
            <w:tcBorders>
              <w:top w:val="single" w:sz="8" w:space="0" w:color="auto"/>
              <w:left w:val="nil"/>
              <w:bottom w:val="single" w:sz="8" w:space="0" w:color="auto"/>
              <w:right w:val="single" w:sz="8" w:space="0" w:color="000000"/>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snapToGrid w:val="0"/>
                <w:szCs w:val="24"/>
                <w:lang w:eastAsia="zh-CN" w:bidi="ar-SA"/>
              </w:rPr>
            </w:pPr>
            <w:r w:rsidRPr="008A7C43">
              <w:rPr>
                <w:rFonts w:ascii="Calibri" w:eastAsia="Times New Roman" w:hAnsi="Calibri" w:cs="Times New Roman"/>
                <w:b/>
                <w:snapToGrid w:val="0"/>
                <w:sz w:val="18"/>
                <w:szCs w:val="24"/>
                <w:lang w:val="es-AR" w:eastAsia="zh-CN" w:bidi="ar-SA"/>
              </w:rPr>
              <w:t>CATEGORÍAS DE INGRESOS BRUTOS (límites máximos)</w:t>
            </w:r>
          </w:p>
        </w:tc>
        <w:tc>
          <w:tcPr>
            <w:tcW w:w="959" w:type="dxa"/>
            <w:tcBorders>
              <w:top w:val="single" w:sz="8" w:space="0" w:color="auto"/>
              <w:left w:val="nil"/>
              <w:bottom w:val="nil"/>
              <w:right w:val="nil"/>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snapToGrid w:val="0"/>
                <w:color w:val="000000"/>
                <w:sz w:val="18"/>
                <w:szCs w:val="24"/>
                <w:lang w:eastAsia="zh-CN" w:bidi="ar-SA"/>
              </w:rPr>
            </w:pPr>
          </w:p>
        </w:tc>
        <w:tc>
          <w:tcPr>
            <w:tcW w:w="894" w:type="dxa"/>
            <w:tcBorders>
              <w:top w:val="single" w:sz="8" w:space="0" w:color="auto"/>
              <w:left w:val="nil"/>
              <w:bottom w:val="nil"/>
              <w:right w:val="nil"/>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snapToGrid w:val="0"/>
                <w:color w:val="000000"/>
                <w:sz w:val="18"/>
                <w:szCs w:val="24"/>
                <w:lang w:eastAsia="zh-CN" w:bidi="ar-SA"/>
              </w:rPr>
            </w:pPr>
          </w:p>
        </w:tc>
        <w:tc>
          <w:tcPr>
            <w:tcW w:w="969" w:type="dxa"/>
            <w:tcBorders>
              <w:top w:val="single" w:sz="8" w:space="0" w:color="auto"/>
              <w:left w:val="nil"/>
              <w:bottom w:val="nil"/>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snapToGrid w:val="0"/>
                <w:color w:val="000000"/>
                <w:sz w:val="18"/>
                <w:szCs w:val="24"/>
                <w:lang w:eastAsia="zh-CN" w:bidi="ar-SA"/>
              </w:rPr>
            </w:pPr>
          </w:p>
        </w:tc>
      </w:tr>
      <w:tr w:rsidR="008A7C43" w:rsidRPr="008A7C43" w:rsidTr="008A7C43">
        <w:trPr>
          <w:trHeight w:val="203"/>
        </w:trPr>
        <w:tc>
          <w:tcPr>
            <w:tcW w:w="967" w:type="dxa"/>
            <w:vMerge w:val="restart"/>
            <w:tcBorders>
              <w:top w:val="nil"/>
              <w:left w:val="single" w:sz="8" w:space="0" w:color="auto"/>
              <w:bottom w:val="nil"/>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2018</w:t>
            </w:r>
          </w:p>
        </w:tc>
        <w:tc>
          <w:tcPr>
            <w:tcW w:w="856" w:type="dxa"/>
            <w:vMerge w:val="restart"/>
            <w:tcBorders>
              <w:top w:val="nil"/>
              <w:left w:val="single" w:sz="8" w:space="0" w:color="auto"/>
              <w:bottom w:val="nil"/>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val="restart"/>
            <w:tcBorders>
              <w:top w:val="nil"/>
              <w:left w:val="single" w:sz="8" w:space="0" w:color="auto"/>
              <w:bottom w:val="single" w:sz="8" w:space="0" w:color="000000"/>
              <w:right w:val="single" w:sz="8" w:space="0" w:color="auto"/>
            </w:tcBorders>
            <w:shd w:val="clear" w:color="000000" w:fill="C0C0C0"/>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2</w:t>
            </w:r>
          </w:p>
        </w:tc>
        <w:tc>
          <w:tcPr>
            <w:tcW w:w="856" w:type="dxa"/>
            <w:vMerge w:val="restart"/>
            <w:tcBorders>
              <w:top w:val="nil"/>
              <w:left w:val="single" w:sz="8" w:space="0" w:color="auto"/>
              <w:bottom w:val="single" w:sz="8" w:space="0" w:color="000000"/>
              <w:right w:val="single" w:sz="8" w:space="0" w:color="auto"/>
            </w:tcBorders>
            <w:shd w:val="clear" w:color="000000" w:fill="C0C0C0"/>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3</w:t>
            </w:r>
          </w:p>
        </w:tc>
        <w:tc>
          <w:tcPr>
            <w:tcW w:w="856" w:type="dxa"/>
            <w:vMerge w:val="restart"/>
            <w:tcBorders>
              <w:top w:val="nil"/>
              <w:left w:val="single" w:sz="8" w:space="0" w:color="auto"/>
              <w:bottom w:val="single" w:sz="8" w:space="0" w:color="000000"/>
              <w:right w:val="single" w:sz="8" w:space="0" w:color="auto"/>
            </w:tcBorders>
            <w:shd w:val="clear" w:color="000000" w:fill="C0C0C0"/>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4</w:t>
            </w:r>
          </w:p>
        </w:tc>
        <w:tc>
          <w:tcPr>
            <w:tcW w:w="856" w:type="dxa"/>
            <w:vMerge w:val="restart"/>
            <w:tcBorders>
              <w:top w:val="nil"/>
              <w:left w:val="single" w:sz="8" w:space="0" w:color="auto"/>
              <w:bottom w:val="single" w:sz="8" w:space="0" w:color="000000"/>
              <w:right w:val="single" w:sz="8" w:space="0" w:color="auto"/>
            </w:tcBorders>
            <w:shd w:val="clear" w:color="000000" w:fill="C0C0C0"/>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5</w:t>
            </w:r>
          </w:p>
        </w:tc>
        <w:tc>
          <w:tcPr>
            <w:tcW w:w="856" w:type="dxa"/>
            <w:vMerge w:val="restart"/>
            <w:tcBorders>
              <w:top w:val="nil"/>
              <w:left w:val="single" w:sz="8" w:space="0" w:color="auto"/>
              <w:bottom w:val="single" w:sz="8" w:space="0" w:color="000000"/>
              <w:right w:val="single" w:sz="8" w:space="0" w:color="auto"/>
            </w:tcBorders>
            <w:shd w:val="clear" w:color="000000" w:fill="C0C0C0"/>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6</w:t>
            </w:r>
          </w:p>
        </w:tc>
        <w:tc>
          <w:tcPr>
            <w:tcW w:w="979" w:type="dxa"/>
            <w:tcBorders>
              <w:top w:val="nil"/>
              <w:left w:val="nil"/>
              <w:bottom w:val="nil"/>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956" w:type="dxa"/>
            <w:vMerge w:val="restart"/>
            <w:tcBorders>
              <w:top w:val="nil"/>
              <w:left w:val="single" w:sz="8" w:space="0" w:color="auto"/>
              <w:bottom w:val="single" w:sz="8" w:space="0" w:color="000000"/>
              <w:right w:val="single" w:sz="8" w:space="0" w:color="auto"/>
            </w:tcBorders>
            <w:shd w:val="clear" w:color="000000" w:fill="C0C0C0"/>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8</w:t>
            </w:r>
          </w:p>
        </w:tc>
        <w:tc>
          <w:tcPr>
            <w:tcW w:w="959" w:type="dxa"/>
            <w:tcBorders>
              <w:top w:val="single" w:sz="8" w:space="0" w:color="auto"/>
              <w:left w:val="nil"/>
              <w:bottom w:val="nil"/>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snapToGrid w:val="0"/>
                <w:color w:val="000000"/>
                <w:sz w:val="18"/>
                <w:szCs w:val="24"/>
                <w:lang w:val="en-US" w:eastAsia="zh-CN" w:bidi="ar-SA"/>
              </w:rPr>
            </w:pPr>
          </w:p>
        </w:tc>
        <w:tc>
          <w:tcPr>
            <w:tcW w:w="894" w:type="dxa"/>
            <w:tcBorders>
              <w:top w:val="single" w:sz="8" w:space="0" w:color="auto"/>
              <w:left w:val="nil"/>
              <w:bottom w:val="nil"/>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snapToGrid w:val="0"/>
                <w:color w:val="000000"/>
                <w:sz w:val="18"/>
                <w:szCs w:val="24"/>
                <w:lang w:val="en-US" w:eastAsia="zh-CN" w:bidi="ar-SA"/>
              </w:rPr>
            </w:pPr>
          </w:p>
        </w:tc>
        <w:tc>
          <w:tcPr>
            <w:tcW w:w="969" w:type="dxa"/>
            <w:tcBorders>
              <w:top w:val="single" w:sz="8" w:space="0" w:color="auto"/>
              <w:left w:val="nil"/>
              <w:bottom w:val="nil"/>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snapToGrid w:val="0"/>
                <w:color w:val="000000"/>
                <w:sz w:val="18"/>
                <w:szCs w:val="24"/>
                <w:lang w:val="en-US" w:eastAsia="zh-CN" w:bidi="ar-SA"/>
              </w:rPr>
            </w:pPr>
          </w:p>
        </w:tc>
      </w:tr>
      <w:tr w:rsidR="008A7C43" w:rsidRPr="008A7C43" w:rsidTr="008A7C43">
        <w:trPr>
          <w:trHeight w:val="203"/>
        </w:trPr>
        <w:tc>
          <w:tcPr>
            <w:tcW w:w="967" w:type="dxa"/>
            <w:vMerge/>
            <w:tcBorders>
              <w:top w:val="nil"/>
              <w:left w:val="single" w:sz="8" w:space="0" w:color="auto"/>
              <w:bottom w:val="nil"/>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nil"/>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979" w:type="dxa"/>
            <w:tcBorders>
              <w:top w:val="nil"/>
              <w:left w:val="nil"/>
              <w:bottom w:val="nil"/>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9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959" w:type="dxa"/>
            <w:tcBorders>
              <w:top w:val="nil"/>
              <w:left w:val="nil"/>
              <w:bottom w:val="nil"/>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94" w:type="dxa"/>
            <w:tcBorders>
              <w:top w:val="nil"/>
              <w:left w:val="nil"/>
              <w:bottom w:val="nil"/>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969" w:type="dxa"/>
            <w:tcBorders>
              <w:top w:val="nil"/>
              <w:left w:val="nil"/>
              <w:bottom w:val="nil"/>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r>
      <w:tr w:rsidR="008A7C43" w:rsidRPr="008A7C43" w:rsidTr="008A7C43">
        <w:trPr>
          <w:trHeight w:val="549"/>
        </w:trPr>
        <w:tc>
          <w:tcPr>
            <w:tcW w:w="967" w:type="dxa"/>
            <w:tcBorders>
              <w:top w:val="nil"/>
              <w:left w:val="single" w:sz="8" w:space="0" w:color="auto"/>
              <w:bottom w:val="nil"/>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snapToGrid w:val="0"/>
                <w:szCs w:val="24"/>
                <w:lang w:val="en-US" w:eastAsia="zh-CN" w:bidi="ar-SA"/>
              </w:rPr>
            </w:pPr>
            <w:r w:rsidRPr="008A7C43">
              <w:rPr>
                <w:rFonts w:ascii="Calibri" w:eastAsia="Times New Roman" w:hAnsi="Calibri" w:cs="Times New Roman"/>
                <w:b/>
                <w:snapToGrid w:val="0"/>
                <w:sz w:val="18"/>
                <w:szCs w:val="24"/>
                <w:lang w:val="es-AR" w:eastAsia="zh-CN" w:bidi="ar-SA"/>
              </w:rPr>
              <w:t>NIVEL FEDERAL DE POBREZA</w:t>
            </w:r>
          </w:p>
        </w:tc>
        <w:tc>
          <w:tcPr>
            <w:tcW w:w="856" w:type="dxa"/>
            <w:tcBorders>
              <w:top w:val="nil"/>
              <w:left w:val="nil"/>
              <w:bottom w:val="single" w:sz="8" w:space="0" w:color="auto"/>
              <w:right w:val="single" w:sz="8" w:space="0" w:color="auto"/>
            </w:tcBorders>
            <w:shd w:val="clear" w:color="000000" w:fill="C0C0C0"/>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w:t>
            </w: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8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979" w:type="dxa"/>
            <w:tcBorders>
              <w:top w:val="nil"/>
              <w:left w:val="nil"/>
              <w:bottom w:val="nil"/>
              <w:right w:val="single" w:sz="8" w:space="0" w:color="auto"/>
            </w:tcBorders>
            <w:shd w:val="clear" w:color="000000" w:fill="C0C0C0"/>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7</w:t>
            </w:r>
          </w:p>
        </w:tc>
        <w:tc>
          <w:tcPr>
            <w:tcW w:w="956" w:type="dxa"/>
            <w:vMerge/>
            <w:tcBorders>
              <w:top w:val="nil"/>
              <w:left w:val="single" w:sz="8" w:space="0" w:color="auto"/>
              <w:bottom w:val="single" w:sz="8" w:space="0" w:color="000000"/>
              <w:right w:val="single" w:sz="8" w:space="0" w:color="auto"/>
            </w:tcBorders>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p>
        </w:tc>
        <w:tc>
          <w:tcPr>
            <w:tcW w:w="959" w:type="dxa"/>
            <w:tcBorders>
              <w:top w:val="nil"/>
              <w:left w:val="nil"/>
              <w:bottom w:val="single" w:sz="8" w:space="0" w:color="auto"/>
              <w:right w:val="single" w:sz="8" w:space="0" w:color="auto"/>
            </w:tcBorders>
            <w:shd w:val="clear" w:color="000000" w:fill="C0C0C0"/>
            <w:noWrap/>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9</w:t>
            </w:r>
          </w:p>
        </w:tc>
        <w:tc>
          <w:tcPr>
            <w:tcW w:w="894" w:type="dxa"/>
            <w:tcBorders>
              <w:top w:val="nil"/>
              <w:left w:val="nil"/>
              <w:bottom w:val="single" w:sz="8" w:space="0" w:color="auto"/>
              <w:right w:val="single" w:sz="8" w:space="0" w:color="auto"/>
            </w:tcBorders>
            <w:shd w:val="clear" w:color="000000" w:fill="C0C0C0"/>
            <w:noWrap/>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10</w:t>
            </w:r>
          </w:p>
        </w:tc>
        <w:tc>
          <w:tcPr>
            <w:tcW w:w="969" w:type="dxa"/>
            <w:tcBorders>
              <w:top w:val="nil"/>
              <w:left w:val="nil"/>
              <w:bottom w:val="single" w:sz="8" w:space="0" w:color="auto"/>
              <w:right w:val="single" w:sz="8" w:space="0" w:color="auto"/>
            </w:tcBorders>
            <w:shd w:val="clear" w:color="000000" w:fill="C0C0C0"/>
            <w:noWrap/>
            <w:vAlign w:val="bottom"/>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11</w:t>
            </w:r>
          </w:p>
        </w:tc>
      </w:tr>
      <w:tr w:rsidR="008A7C43" w:rsidRPr="008A7C43" w:rsidTr="008A7C43">
        <w:trPr>
          <w:trHeight w:val="215"/>
        </w:trPr>
        <w:tc>
          <w:tcPr>
            <w:tcW w:w="967" w:type="dxa"/>
            <w:tcBorders>
              <w:top w:val="single" w:sz="8" w:space="0" w:color="auto"/>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snapToGrid w:val="0"/>
                <w:szCs w:val="24"/>
                <w:lang w:eastAsia="zh-CN" w:bidi="ar-SA"/>
              </w:rPr>
            </w:pPr>
            <w:r w:rsidRPr="008A7C43">
              <w:rPr>
                <w:rFonts w:ascii="Calibri" w:eastAsia="Times New Roman" w:hAnsi="Calibri" w:cs="Times New Roman"/>
                <w:b/>
                <w:snapToGrid w:val="0"/>
                <w:color w:val="000000"/>
                <w:sz w:val="18"/>
                <w:szCs w:val="24"/>
                <w:lang w:val="es-AR" w:eastAsia="zh-CN" w:bidi="ar-SA"/>
              </w:rPr>
              <w:t>Cantidad de integrantes de la familia</w:t>
            </w:r>
          </w:p>
        </w:tc>
        <w:tc>
          <w:tcPr>
            <w:tcW w:w="856" w:type="dxa"/>
            <w:tcBorders>
              <w:top w:val="nil"/>
              <w:left w:val="nil"/>
              <w:bottom w:val="single" w:sz="8" w:space="0" w:color="auto"/>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100%</w:t>
            </w:r>
          </w:p>
        </w:tc>
        <w:tc>
          <w:tcPr>
            <w:tcW w:w="856" w:type="dxa"/>
            <w:tcBorders>
              <w:top w:val="nil"/>
              <w:left w:val="nil"/>
              <w:bottom w:val="single" w:sz="8" w:space="0" w:color="auto"/>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125%</w:t>
            </w:r>
          </w:p>
        </w:tc>
        <w:tc>
          <w:tcPr>
            <w:tcW w:w="856" w:type="dxa"/>
            <w:tcBorders>
              <w:top w:val="nil"/>
              <w:left w:val="nil"/>
              <w:bottom w:val="single" w:sz="8" w:space="0" w:color="auto"/>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150%</w:t>
            </w:r>
          </w:p>
        </w:tc>
        <w:tc>
          <w:tcPr>
            <w:tcW w:w="856" w:type="dxa"/>
            <w:tcBorders>
              <w:top w:val="nil"/>
              <w:left w:val="nil"/>
              <w:bottom w:val="single" w:sz="8" w:space="0" w:color="auto"/>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175%</w:t>
            </w:r>
          </w:p>
        </w:tc>
        <w:tc>
          <w:tcPr>
            <w:tcW w:w="856" w:type="dxa"/>
            <w:tcBorders>
              <w:top w:val="nil"/>
              <w:left w:val="nil"/>
              <w:bottom w:val="single" w:sz="8" w:space="0" w:color="auto"/>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185%</w:t>
            </w:r>
          </w:p>
        </w:tc>
        <w:tc>
          <w:tcPr>
            <w:tcW w:w="856" w:type="dxa"/>
            <w:tcBorders>
              <w:top w:val="nil"/>
              <w:left w:val="nil"/>
              <w:bottom w:val="single" w:sz="8" w:space="0" w:color="auto"/>
              <w:right w:val="nil"/>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200%</w:t>
            </w:r>
          </w:p>
        </w:tc>
        <w:tc>
          <w:tcPr>
            <w:tcW w:w="979" w:type="dxa"/>
            <w:tcBorders>
              <w:top w:val="single" w:sz="8" w:space="0" w:color="auto"/>
              <w:left w:val="single" w:sz="8" w:space="0" w:color="auto"/>
              <w:bottom w:val="nil"/>
              <w:right w:val="single" w:sz="8" w:space="0" w:color="auto"/>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250%</w:t>
            </w:r>
          </w:p>
        </w:tc>
        <w:tc>
          <w:tcPr>
            <w:tcW w:w="956" w:type="dxa"/>
            <w:tcBorders>
              <w:top w:val="nil"/>
              <w:left w:val="nil"/>
              <w:bottom w:val="single" w:sz="8" w:space="0" w:color="auto"/>
              <w:right w:val="nil"/>
            </w:tcBorders>
            <w:shd w:val="clear" w:color="000000" w:fill="C0C0C0"/>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300%</w:t>
            </w:r>
          </w:p>
        </w:tc>
        <w:tc>
          <w:tcPr>
            <w:tcW w:w="959" w:type="dxa"/>
            <w:tcBorders>
              <w:top w:val="nil"/>
              <w:left w:val="single" w:sz="8" w:space="0" w:color="auto"/>
              <w:bottom w:val="single" w:sz="8" w:space="0" w:color="auto"/>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400%</w:t>
            </w:r>
          </w:p>
        </w:tc>
        <w:tc>
          <w:tcPr>
            <w:tcW w:w="894" w:type="dxa"/>
            <w:tcBorders>
              <w:top w:val="nil"/>
              <w:left w:val="nil"/>
              <w:bottom w:val="single" w:sz="8" w:space="0" w:color="auto"/>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500%</w:t>
            </w:r>
          </w:p>
        </w:tc>
        <w:tc>
          <w:tcPr>
            <w:tcW w:w="969" w:type="dxa"/>
            <w:tcBorders>
              <w:top w:val="nil"/>
              <w:left w:val="nil"/>
              <w:bottom w:val="nil"/>
              <w:right w:val="single" w:sz="8" w:space="0" w:color="auto"/>
            </w:tcBorders>
            <w:shd w:val="clear" w:color="000000" w:fill="C0C0C0"/>
            <w:noWrap/>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noProof/>
                <w:snapToGrid w:val="0"/>
                <w:color w:val="000000"/>
                <w:sz w:val="18"/>
                <w:szCs w:val="24"/>
                <w:lang w:val="en-US" w:eastAsia="zh-CN" w:bidi="ar-SA"/>
              </w:rPr>
              <w:t>over 500%</w:t>
            </w:r>
          </w:p>
        </w:tc>
      </w:tr>
      <w:tr w:rsidR="008A7C43" w:rsidRPr="008A7C43" w:rsidTr="008A7C43">
        <w:trPr>
          <w:trHeight w:val="215"/>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1</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$12,140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$15,175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$18,210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$21,245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$22,459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$24,280 </w:t>
            </w:r>
          </w:p>
        </w:tc>
        <w:tc>
          <w:tcPr>
            <w:tcW w:w="979" w:type="dxa"/>
            <w:tcBorders>
              <w:top w:val="single" w:sz="8" w:space="0" w:color="auto"/>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$30,350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$36,420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$48,560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$60,700 </w:t>
            </w:r>
          </w:p>
        </w:tc>
        <w:tc>
          <w:tcPr>
            <w:tcW w:w="969" w:type="dxa"/>
            <w:tcBorders>
              <w:top w:val="single" w:sz="8" w:space="0" w:color="auto"/>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$60,700 </w:t>
            </w:r>
          </w:p>
        </w:tc>
      </w:tr>
      <w:tr w:rsidR="008A7C43" w:rsidRPr="008A7C43" w:rsidTr="008A7C43">
        <w:trPr>
          <w:trHeight w:val="215"/>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2</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$16,460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$20,575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$24,690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$28,805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$30,451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$32,920 </w:t>
            </w:r>
          </w:p>
        </w:tc>
        <w:tc>
          <w:tcPr>
            <w:tcW w:w="97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$41,150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$49,380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$65,840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$82,300 </w:t>
            </w:r>
          </w:p>
        </w:tc>
        <w:tc>
          <w:tcPr>
            <w:tcW w:w="96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$82,300 </w:t>
            </w:r>
          </w:p>
        </w:tc>
      </w:tr>
      <w:tr w:rsidR="008A7C43" w:rsidRPr="008A7C43" w:rsidTr="008A7C43">
        <w:trPr>
          <w:trHeight w:val="215"/>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3</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$20,780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$25,975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$31,170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$36,365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$38,443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$41,560 </w:t>
            </w:r>
          </w:p>
        </w:tc>
        <w:tc>
          <w:tcPr>
            <w:tcW w:w="97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$51,950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$62,340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$83,120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$103,900 </w:t>
            </w:r>
          </w:p>
        </w:tc>
        <w:tc>
          <w:tcPr>
            <w:tcW w:w="96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$103,900 </w:t>
            </w:r>
          </w:p>
        </w:tc>
      </w:tr>
      <w:tr w:rsidR="008A7C43" w:rsidRPr="008A7C43" w:rsidTr="008A7C43">
        <w:trPr>
          <w:trHeight w:val="215"/>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4</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$25,100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$31,375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$37,650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$43,925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$46,435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$50,200 </w:t>
            </w:r>
          </w:p>
        </w:tc>
        <w:tc>
          <w:tcPr>
            <w:tcW w:w="97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$62,750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$75,300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$100,400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$125,500 </w:t>
            </w:r>
          </w:p>
        </w:tc>
        <w:tc>
          <w:tcPr>
            <w:tcW w:w="969" w:type="dxa"/>
            <w:tcBorders>
              <w:top w:val="nil"/>
              <w:left w:val="nil"/>
              <w:bottom w:val="nil"/>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$125,500 </w:t>
            </w:r>
          </w:p>
        </w:tc>
      </w:tr>
      <w:tr w:rsidR="008A7C43" w:rsidRPr="008A7C43" w:rsidTr="008A7C43">
        <w:trPr>
          <w:trHeight w:val="215"/>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5</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$29,420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$36,775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$44,130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$51,485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$54,427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$58,840 </w:t>
            </w:r>
          </w:p>
        </w:tc>
        <w:tc>
          <w:tcPr>
            <w:tcW w:w="97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$73,550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$88,260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$117,680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$147,100 </w:t>
            </w:r>
          </w:p>
        </w:tc>
        <w:tc>
          <w:tcPr>
            <w:tcW w:w="969" w:type="dxa"/>
            <w:tcBorders>
              <w:top w:val="single" w:sz="8" w:space="0" w:color="auto"/>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$147,100 </w:t>
            </w:r>
          </w:p>
        </w:tc>
      </w:tr>
      <w:tr w:rsidR="008A7C43" w:rsidRPr="008A7C43" w:rsidTr="008A7C43">
        <w:trPr>
          <w:trHeight w:val="215"/>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6</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$33,740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$42,175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$50,610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$59,045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$62,419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$67,480 </w:t>
            </w:r>
          </w:p>
        </w:tc>
        <w:tc>
          <w:tcPr>
            <w:tcW w:w="97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$84,350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$101,220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$134,960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$168,700 </w:t>
            </w:r>
          </w:p>
        </w:tc>
        <w:tc>
          <w:tcPr>
            <w:tcW w:w="96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$168,700 </w:t>
            </w:r>
          </w:p>
        </w:tc>
      </w:tr>
      <w:tr w:rsidR="008A7C43" w:rsidRPr="008A7C43" w:rsidTr="008A7C43">
        <w:trPr>
          <w:trHeight w:val="215"/>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7</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$38,060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$47,575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$57,090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$66,605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$70,411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$76,120 </w:t>
            </w:r>
          </w:p>
        </w:tc>
        <w:tc>
          <w:tcPr>
            <w:tcW w:w="97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$95,150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$114,180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$152,240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$190,300 </w:t>
            </w:r>
          </w:p>
        </w:tc>
        <w:tc>
          <w:tcPr>
            <w:tcW w:w="96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$190,300 </w:t>
            </w:r>
          </w:p>
        </w:tc>
      </w:tr>
      <w:tr w:rsidR="008A7C43" w:rsidRPr="008A7C43" w:rsidTr="008A7C43">
        <w:trPr>
          <w:trHeight w:val="215"/>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b/>
                <w:snapToGrid w:val="0"/>
                <w:color w:val="000000"/>
                <w:sz w:val="18"/>
                <w:szCs w:val="24"/>
                <w:lang w:val="en-US" w:eastAsia="zh-CN" w:bidi="ar-SA"/>
              </w:rPr>
            </w:pPr>
            <w:r w:rsidRPr="008A7C43">
              <w:rPr>
                <w:rFonts w:ascii="Calibri" w:eastAsia="Times New Roman" w:hAnsi="Calibri" w:cs="Times New Roman"/>
                <w:b/>
                <w:snapToGrid w:val="0"/>
                <w:color w:val="000000"/>
                <w:sz w:val="18"/>
                <w:szCs w:val="24"/>
                <w:lang w:val="en-US" w:eastAsia="zh-CN" w:bidi="ar-SA"/>
              </w:rPr>
              <w:t>8</w:t>
            </w:r>
          </w:p>
        </w:tc>
        <w:tc>
          <w:tcPr>
            <w:tcW w:w="856" w:type="dxa"/>
            <w:tcBorders>
              <w:top w:val="nil"/>
              <w:left w:val="nil"/>
              <w:bottom w:val="nil"/>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$42,380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$52,975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$63,570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$74,165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$78,403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$84,760 </w:t>
            </w:r>
          </w:p>
        </w:tc>
        <w:tc>
          <w:tcPr>
            <w:tcW w:w="97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$105,950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$127,140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$169,520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$211,900 </w:t>
            </w:r>
          </w:p>
        </w:tc>
        <w:tc>
          <w:tcPr>
            <w:tcW w:w="96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$211,900 </w:t>
            </w:r>
          </w:p>
        </w:tc>
      </w:tr>
      <w:tr w:rsidR="008A7C43" w:rsidRPr="008A7C43" w:rsidTr="008A7C43">
        <w:trPr>
          <w:trHeight w:val="549"/>
        </w:trPr>
        <w:tc>
          <w:tcPr>
            <w:tcW w:w="967" w:type="dxa"/>
            <w:tcBorders>
              <w:top w:val="nil"/>
              <w:left w:val="single" w:sz="8" w:space="0" w:color="auto"/>
              <w:bottom w:val="single" w:sz="8" w:space="0" w:color="auto"/>
              <w:right w:val="single" w:sz="8" w:space="0" w:color="auto"/>
            </w:tcBorders>
            <w:shd w:val="clear" w:color="000000" w:fill="FFFFFF"/>
            <w:vAlign w:val="center"/>
          </w:tcPr>
          <w:p w:rsidR="008A7C43" w:rsidRPr="008A7C43" w:rsidRDefault="008A7C43" w:rsidP="008A7C43">
            <w:pPr>
              <w:spacing w:after="0" w:line="240" w:lineRule="auto"/>
              <w:jc w:val="center"/>
              <w:rPr>
                <w:rFonts w:ascii="Calibri" w:eastAsia="Times New Roman" w:hAnsi="Calibri" w:cs="Times New Roman"/>
                <w:snapToGrid w:val="0"/>
                <w:szCs w:val="24"/>
                <w:lang w:val="en-US" w:eastAsia="zh-CN" w:bidi="ar-SA"/>
              </w:rPr>
            </w:pPr>
            <w:r w:rsidRPr="008A7C43">
              <w:rPr>
                <w:rFonts w:ascii="Calibri" w:eastAsia="Times New Roman" w:hAnsi="Calibri" w:cs="Times New Roman"/>
                <w:snapToGrid w:val="0"/>
                <w:sz w:val="18"/>
                <w:szCs w:val="24"/>
                <w:lang w:val="es-AR" w:eastAsia="zh-CN" w:bidi="ar-SA"/>
              </w:rPr>
              <w:t>Por cada persona adicional</w:t>
            </w:r>
          </w:p>
        </w:tc>
        <w:tc>
          <w:tcPr>
            <w:tcW w:w="856" w:type="dxa"/>
            <w:tcBorders>
              <w:top w:val="single" w:sz="8" w:space="0" w:color="auto"/>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$4,320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$5,400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$6,480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$7,560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$7,992 </w:t>
            </w:r>
          </w:p>
        </w:tc>
        <w:tc>
          <w:tcPr>
            <w:tcW w:w="8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$8,640 </w:t>
            </w:r>
          </w:p>
        </w:tc>
        <w:tc>
          <w:tcPr>
            <w:tcW w:w="97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$10,800 </w:t>
            </w:r>
          </w:p>
        </w:tc>
        <w:tc>
          <w:tcPr>
            <w:tcW w:w="956"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$12,960 </w:t>
            </w:r>
          </w:p>
        </w:tc>
        <w:tc>
          <w:tcPr>
            <w:tcW w:w="959"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$17,280 </w:t>
            </w:r>
          </w:p>
        </w:tc>
        <w:tc>
          <w:tcPr>
            <w:tcW w:w="894" w:type="dxa"/>
            <w:tcBorders>
              <w:top w:val="nil"/>
              <w:left w:val="nil"/>
              <w:bottom w:val="single" w:sz="8" w:space="0" w:color="auto"/>
              <w:right w:val="single" w:sz="8" w:space="0" w:color="auto"/>
            </w:tcBorders>
            <w:shd w:val="clear" w:color="000000" w:fill="FFFFFF"/>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$21,600 </w:t>
            </w:r>
          </w:p>
        </w:tc>
        <w:tc>
          <w:tcPr>
            <w:tcW w:w="969" w:type="dxa"/>
            <w:tcBorders>
              <w:top w:val="nil"/>
              <w:left w:val="nil"/>
              <w:bottom w:val="single" w:sz="8" w:space="0" w:color="auto"/>
              <w:right w:val="single" w:sz="8" w:space="0" w:color="auto"/>
            </w:tcBorders>
            <w:shd w:val="clear" w:color="000000" w:fill="FFFFFF"/>
            <w:noWrap/>
          </w:tcPr>
          <w:p w:rsidR="008A7C43" w:rsidRPr="008A7C43" w:rsidRDefault="008A7C43" w:rsidP="008A7C43">
            <w:pPr>
              <w:spacing w:after="0" w:line="240" w:lineRule="auto"/>
              <w:rPr>
                <w:rFonts w:ascii="Times New Roman" w:eastAsia="Times New Roman" w:hAnsi="Times New Roman" w:cs="Times New Roman"/>
                <w:sz w:val="18"/>
                <w:szCs w:val="18"/>
                <w:lang w:val="en-US" w:eastAsia="zh-CN" w:bidi="ar-SA"/>
              </w:rPr>
            </w:pPr>
            <w:r w:rsidRPr="008A7C43">
              <w:rPr>
                <w:rFonts w:ascii="Times New Roman" w:eastAsia="Times New Roman" w:hAnsi="Times New Roman" w:cs="Times New Roman"/>
                <w:sz w:val="18"/>
                <w:szCs w:val="18"/>
                <w:lang w:val="en-US" w:eastAsia="zh-CN" w:bidi="ar-SA"/>
              </w:rPr>
              <w:t xml:space="preserve">$21,600 </w:t>
            </w:r>
          </w:p>
        </w:tc>
      </w:tr>
    </w:tbl>
    <w:p w:rsidR="003E6ED6" w:rsidRPr="00180776" w:rsidRDefault="003E6ED6" w:rsidP="003E6ED6">
      <w:pPr>
        <w:widowControl w:val="0"/>
        <w:spacing w:after="0" w:line="240" w:lineRule="auto"/>
        <w:ind w:left="1440"/>
        <w:rPr>
          <w:rFonts w:ascii="Times New Roman" w:eastAsia="Times New Roman" w:hAnsi="Times New Roman" w:cs="Times New Roman"/>
          <w:b/>
          <w:bCs/>
          <w:snapToGrid w:val="0"/>
          <w:sz w:val="28"/>
          <w:szCs w:val="20"/>
        </w:rPr>
      </w:pPr>
      <w:r w:rsidRPr="00180776">
        <w:rPr>
          <w:rFonts w:ascii="Times New Roman" w:hAnsi="Times New Roman"/>
          <w:b/>
          <w:snapToGrid w:val="0"/>
          <w:sz w:val="28"/>
        </w:rPr>
        <w:t>Anexo A: Gráfico y Niveles de Asistencia Financiera</w:t>
      </w:r>
    </w:p>
    <w:p w:rsidR="00145A8B" w:rsidRDefault="00145A8B" w:rsidP="007339A9">
      <w:pPr>
        <w:tabs>
          <w:tab w:val="left" w:pos="-360"/>
          <w:tab w:val="left" w:pos="0"/>
        </w:tabs>
        <w:spacing w:after="0" w:line="240" w:lineRule="auto"/>
        <w:rPr>
          <w:rFonts w:ascii="Times New Roman" w:eastAsia="Times New Roman" w:hAnsi="Times New Roman" w:cs="Times New Roman"/>
        </w:rPr>
      </w:pPr>
    </w:p>
    <w:p w:rsidR="001A126E" w:rsidRDefault="001A126E" w:rsidP="00DD249A">
      <w:pPr>
        <w:tabs>
          <w:tab w:val="left" w:pos="-360"/>
          <w:tab w:val="left" w:pos="0"/>
        </w:tabs>
        <w:spacing w:after="0" w:line="240" w:lineRule="auto"/>
        <w:jc w:val="center"/>
        <w:rPr>
          <w:rFonts w:ascii="Times New Roman" w:hAnsi="Times New Roman"/>
        </w:rPr>
      </w:pPr>
      <w:r w:rsidRPr="00180776">
        <w:rPr>
          <w:rFonts w:ascii="Times New Roman" w:hAnsi="Times New Roman"/>
        </w:rPr>
        <w:t>* Según el Índice Federal de Pobreza de 20</w:t>
      </w:r>
      <w:r w:rsidR="000D0B42">
        <w:rPr>
          <w:rFonts w:ascii="Times New Roman" w:hAnsi="Times New Roman"/>
        </w:rPr>
        <w:t>1</w:t>
      </w:r>
      <w:r w:rsidR="00DD249A">
        <w:rPr>
          <w:rFonts w:ascii="Times New Roman" w:hAnsi="Times New Roman"/>
        </w:rPr>
        <w:t>8</w:t>
      </w:r>
    </w:p>
    <w:p w:rsidR="000D0B42" w:rsidRPr="00180776" w:rsidRDefault="000D0B42" w:rsidP="000D0B42">
      <w:pPr>
        <w:spacing w:after="0" w:line="240" w:lineRule="auto"/>
        <w:ind w:left="1440"/>
        <w:rPr>
          <w:rFonts w:ascii="Times New Roman" w:eastAsia="Times New Roman" w:hAnsi="Times New Roman" w:cs="Times New Roman"/>
          <w:b/>
          <w:bCs/>
          <w:szCs w:val="24"/>
          <w:u w:val="single"/>
        </w:rPr>
      </w:pPr>
    </w:p>
    <w:p w:rsidR="00875BF0" w:rsidRDefault="00875BF0" w:rsidP="006501D4">
      <w:pPr>
        <w:spacing w:after="0" w:line="240" w:lineRule="auto"/>
        <w:ind w:left="360" w:hanging="360"/>
        <w:rPr>
          <w:rFonts w:ascii="Times New Roman" w:hAnsi="Times New Roman"/>
          <w:b/>
          <w:u w:val="single"/>
        </w:rPr>
      </w:pPr>
    </w:p>
    <w:p w:rsidR="00875BF0" w:rsidRDefault="00875BF0" w:rsidP="006501D4">
      <w:pPr>
        <w:spacing w:after="0" w:line="240" w:lineRule="auto"/>
        <w:ind w:left="360" w:hanging="360"/>
        <w:rPr>
          <w:rFonts w:ascii="Times New Roman" w:hAnsi="Times New Roman"/>
          <w:b/>
          <w:u w:val="single"/>
        </w:rPr>
      </w:pPr>
    </w:p>
    <w:p w:rsidR="006501D4" w:rsidRPr="00180776" w:rsidRDefault="006501D4" w:rsidP="006501D4">
      <w:pPr>
        <w:spacing w:after="0" w:line="240" w:lineRule="auto"/>
        <w:ind w:left="360" w:hanging="360"/>
        <w:rPr>
          <w:rFonts w:ascii="Times New Roman" w:eastAsia="Times New Roman" w:hAnsi="Times New Roman" w:cs="Times New Roman"/>
          <w:b/>
          <w:bCs/>
          <w:szCs w:val="24"/>
        </w:rPr>
      </w:pPr>
      <w:r w:rsidRPr="00180776">
        <w:rPr>
          <w:rFonts w:ascii="Times New Roman" w:hAnsi="Times New Roman"/>
          <w:b/>
          <w:u w:val="single"/>
        </w:rPr>
        <w:t>Visitas a la sala de emergencias</w:t>
      </w:r>
      <w:r w:rsidRPr="00180776">
        <w:rPr>
          <w:rFonts w:ascii="Times New Roman" w:hAnsi="Times New Roman"/>
          <w:b/>
        </w:rPr>
        <w:t xml:space="preserve">: </w:t>
      </w:r>
    </w:p>
    <w:p w:rsidR="006501D4" w:rsidRPr="00180776" w:rsidRDefault="006501D4" w:rsidP="006501D4">
      <w:pPr>
        <w:spacing w:after="0" w:line="240" w:lineRule="auto"/>
        <w:ind w:left="360" w:hanging="360"/>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100 % del Nivel Federal de Pobreza: $15 por adultos y $0 por prenatales y pediátricas</w:t>
      </w:r>
    </w:p>
    <w:p w:rsidR="006501D4" w:rsidRPr="00180776" w:rsidRDefault="006501D4" w:rsidP="006501D4">
      <w:pPr>
        <w:spacing w:after="0" w:line="240" w:lineRule="auto"/>
        <w:ind w:left="144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 w:val="21"/>
          <w:szCs w:val="24"/>
        </w:rPr>
      </w:pPr>
      <w:r w:rsidRPr="00180776">
        <w:rPr>
          <w:rFonts w:ascii="Times New Roman" w:hAnsi="Times New Roman"/>
          <w:b/>
          <w:sz w:val="21"/>
        </w:rPr>
        <w:t xml:space="preserve">Hasta el 125 % del Nivel Federal de Pobreza: </w:t>
      </w:r>
      <w:r w:rsidRPr="00180776">
        <w:rPr>
          <w:rFonts w:ascii="Times New Roman" w:hAnsi="Times New Roman"/>
          <w:b/>
        </w:rPr>
        <w:t>$35</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     Hasta el 150 % del Nivel Federal de Pobreza: $45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175 % del Nivel Federal de Pobreza: $65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$110</w:t>
      </w:r>
    </w:p>
    <w:p w:rsidR="006501D4" w:rsidRPr="00180776" w:rsidRDefault="006501D4" w:rsidP="006501D4">
      <w:pPr>
        <w:spacing w:after="0" w:line="240" w:lineRule="auto"/>
        <w:ind w:left="144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$155</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$180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$225</w:t>
      </w:r>
    </w:p>
    <w:p w:rsidR="006501D4" w:rsidRPr="00180776" w:rsidRDefault="006501D4" w:rsidP="006501D4">
      <w:pPr>
        <w:spacing w:after="0" w:line="240" w:lineRule="auto"/>
        <w:rPr>
          <w:rFonts w:ascii="Times New Roman" w:eastAsia="Times New Roman" w:hAnsi="Times New Roman" w:cs="Times New Roman"/>
          <w:b/>
          <w:bCs/>
          <w:szCs w:val="24"/>
        </w:rPr>
      </w:pPr>
    </w:p>
    <w:p w:rsidR="005230B0"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500 % del Nivel Federal de Pobreza: $700</w:t>
      </w:r>
    </w:p>
    <w:p w:rsidR="005230B0" w:rsidRPr="00180776" w:rsidRDefault="005230B0"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Más del 500 % del Nivel Federal de Pobreza: descuento de cortesía de $1500</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5230B0" w:rsidRDefault="005230B0" w:rsidP="006501D4">
      <w:pPr>
        <w:spacing w:after="0" w:line="240" w:lineRule="auto"/>
        <w:rPr>
          <w:rFonts w:ascii="Times New Roman" w:eastAsia="Times New Roman" w:hAnsi="Times New Roman" w:cs="Times New Roman"/>
          <w:b/>
          <w:bCs/>
          <w:szCs w:val="24"/>
        </w:rPr>
      </w:pPr>
    </w:p>
    <w:p w:rsidR="00145A8B" w:rsidRDefault="00145A8B" w:rsidP="006501D4">
      <w:pPr>
        <w:spacing w:after="0" w:line="240" w:lineRule="auto"/>
        <w:rPr>
          <w:rFonts w:ascii="Times New Roman" w:eastAsia="Times New Roman" w:hAnsi="Times New Roman" w:cs="Times New Roman"/>
          <w:b/>
          <w:bCs/>
          <w:szCs w:val="24"/>
        </w:rPr>
      </w:pPr>
    </w:p>
    <w:p w:rsidR="00145A8B" w:rsidRDefault="00145A8B" w:rsidP="006501D4">
      <w:pPr>
        <w:spacing w:after="0" w:line="240" w:lineRule="auto"/>
        <w:rPr>
          <w:rFonts w:ascii="Times New Roman" w:eastAsia="Times New Roman" w:hAnsi="Times New Roman" w:cs="Times New Roman"/>
          <w:b/>
          <w:bCs/>
          <w:szCs w:val="24"/>
        </w:rPr>
      </w:pPr>
    </w:p>
    <w:p w:rsidR="00145A8B" w:rsidRDefault="00145A8B" w:rsidP="006501D4">
      <w:pPr>
        <w:spacing w:after="0" w:line="240" w:lineRule="auto"/>
        <w:rPr>
          <w:rFonts w:ascii="Times New Roman" w:eastAsia="Times New Roman" w:hAnsi="Times New Roman" w:cs="Times New Roman"/>
          <w:b/>
          <w:bCs/>
          <w:szCs w:val="24"/>
        </w:rPr>
      </w:pPr>
    </w:p>
    <w:p w:rsidR="006501D4" w:rsidRPr="00180776" w:rsidRDefault="006501D4" w:rsidP="006501D4">
      <w:pPr>
        <w:spacing w:after="0" w:line="240" w:lineRule="auto"/>
        <w:rPr>
          <w:rFonts w:ascii="Times New Roman" w:eastAsia="Times New Roman" w:hAnsi="Times New Roman" w:cs="Times New Roman"/>
          <w:b/>
          <w:bCs/>
          <w:szCs w:val="24"/>
          <w:u w:val="single"/>
        </w:rPr>
      </w:pPr>
    </w:p>
    <w:p w:rsidR="006501D4" w:rsidRPr="00180776" w:rsidRDefault="006501D4" w:rsidP="006501D4">
      <w:pPr>
        <w:spacing w:after="0" w:line="240" w:lineRule="auto"/>
        <w:rPr>
          <w:rFonts w:ascii="Times New Roman" w:eastAsia="Times New Roman" w:hAnsi="Times New Roman" w:cs="Times New Roman"/>
          <w:b/>
          <w:bCs/>
          <w:szCs w:val="24"/>
          <w:u w:val="single"/>
        </w:rPr>
      </w:pPr>
      <w:r w:rsidRPr="00180776">
        <w:rPr>
          <w:rFonts w:ascii="Times New Roman" w:hAnsi="Times New Roman"/>
          <w:b/>
          <w:u w:val="single"/>
        </w:rPr>
        <w:t>Admisiones para internación de emergencia:</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100 % del Nivel Federal de Pobreza: $150 por alta</w:t>
      </w:r>
    </w:p>
    <w:p w:rsidR="006501D4" w:rsidRPr="00180776" w:rsidRDefault="006501D4" w:rsidP="006501D4">
      <w:pPr>
        <w:spacing w:after="0" w:line="240" w:lineRule="auto"/>
        <w:ind w:left="1440"/>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125 % del Nivel Federal de Pobreza: $300 por alta</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150 % del Nivel Federal de Pobreza: $500 por alta</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 xml:space="preserve">Hasta el 175 % del Nivel Federal de Pobreza: $2,800 por alta </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 xml:space="preserve">Hasta el 185 % del Nivel Federal de Pobreza: $4,700 por alta </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 xml:space="preserve">Hasta el 200 % del Nivel Federal de Pobreza: $6,600 por alta </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$7,600 por alta</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$9,500 por alta</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500 % del Nivel Federal de Pobreza: $11,000 por alta</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 w:val="24"/>
          <w:szCs w:val="24"/>
        </w:rPr>
      </w:pPr>
      <w:r w:rsidRPr="00180776">
        <w:rPr>
          <w:rFonts w:ascii="Times New Roman" w:hAnsi="Times New Roman"/>
          <w:b/>
        </w:rPr>
        <w:t>Más del 500 % del Nivel Federal de Pobreza: descuento de cortesía de $16,000 por alta</w:t>
      </w: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keepNext/>
        <w:spacing w:after="0" w:line="240" w:lineRule="auto"/>
        <w:ind w:left="1440" w:hanging="1440"/>
        <w:outlineLvl w:val="2"/>
        <w:rPr>
          <w:rFonts w:ascii="Times New Roman" w:eastAsia="Times New Roman" w:hAnsi="Times New Roman" w:cs="Times New Roman"/>
          <w:b/>
          <w:bCs/>
          <w:sz w:val="24"/>
          <w:szCs w:val="24"/>
          <w:u w:val="single"/>
        </w:rPr>
      </w:pPr>
      <w:r w:rsidRPr="00180776">
        <w:rPr>
          <w:rFonts w:ascii="Times New Roman" w:hAnsi="Times New Roman"/>
          <w:b/>
          <w:sz w:val="24"/>
          <w:u w:val="single"/>
        </w:rPr>
        <w:t xml:space="preserve">Visitas clínicas (en las sedes de Montefiore, Clínica de Salud Mental, Oficina Oncológica, Renal, de Laboratorio y de Patología):  </w:t>
      </w:r>
    </w:p>
    <w:p w:rsidR="006501D4" w:rsidRPr="00180776" w:rsidRDefault="006501D4" w:rsidP="006501D4">
      <w:pPr>
        <w:spacing w:after="0" w:line="240" w:lineRule="auto"/>
        <w:rPr>
          <w:rFonts w:ascii="Times New Roman" w:eastAsia="Times New Roman" w:hAnsi="Times New Roman" w:cs="Times New Roman"/>
          <w:sz w:val="24"/>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100 % del Nivel Federal de Pobreza: $15 por adultos y $0 por prenatales y pediátricas</w:t>
      </w:r>
    </w:p>
    <w:p w:rsidR="006501D4" w:rsidRPr="00180776" w:rsidRDefault="006501D4" w:rsidP="006501D4">
      <w:pPr>
        <w:spacing w:after="0" w:line="240" w:lineRule="auto"/>
        <w:ind w:left="144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125 % del Nivel Federal de Pobreza: $20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150 % del Nivel Federal de Pobreza: $30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175 % del Nivel Federal de Pobreza: $45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$75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$105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 w:val="24"/>
          <w:szCs w:val="24"/>
        </w:rPr>
      </w:pPr>
      <w:r w:rsidRPr="00180776">
        <w:rPr>
          <w:rFonts w:ascii="Times New Roman" w:hAnsi="Times New Roman"/>
          <w:b/>
          <w:sz w:val="24"/>
        </w:rPr>
        <w:t>Hasta el 250 % del Nivel Federal de Pobreza: $120</w:t>
      </w: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 w:val="24"/>
          <w:szCs w:val="24"/>
        </w:rPr>
      </w:pPr>
      <w:r w:rsidRPr="00180776">
        <w:rPr>
          <w:rFonts w:ascii="Times New Roman" w:hAnsi="Times New Roman"/>
          <w:b/>
          <w:sz w:val="24"/>
        </w:rPr>
        <w:t xml:space="preserve">Hasta el 300 % del Nivel Federal de Pobreza: $150  </w:t>
      </w: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 w:val="24"/>
          <w:szCs w:val="24"/>
        </w:rPr>
      </w:pPr>
      <w:r w:rsidRPr="00180776">
        <w:rPr>
          <w:rFonts w:ascii="Times New Roman" w:hAnsi="Times New Roman"/>
          <w:b/>
          <w:sz w:val="24"/>
        </w:rPr>
        <w:t>Hasta el 500 % del Nivel Federal de Pobreza: $200</w:t>
      </w: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Más del 500 % del Nivel Federal de Pobreza: descuento de cortesía de $350</w:t>
      </w:r>
    </w:p>
    <w:p w:rsidR="006501D4" w:rsidRPr="00180776" w:rsidRDefault="006501D4" w:rsidP="006501D4">
      <w:pPr>
        <w:spacing w:after="0" w:line="240" w:lineRule="auto"/>
        <w:rPr>
          <w:rFonts w:ascii="Times New Roman" w:eastAsia="Times New Roman" w:hAnsi="Times New Roman" w:cs="Times New Roman"/>
          <w:b/>
          <w:bCs/>
          <w:sz w:val="24"/>
          <w:szCs w:val="24"/>
        </w:rPr>
      </w:pPr>
      <w:r w:rsidRPr="00180776">
        <w:rPr>
          <w:rFonts w:ascii="Times New Roman" w:hAnsi="Times New Roman"/>
          <w:b/>
          <w:sz w:val="24"/>
        </w:rPr>
        <w:t xml:space="preserve">                          </w:t>
      </w:r>
    </w:p>
    <w:p w:rsidR="006501D4" w:rsidRDefault="006501D4" w:rsidP="006501D4">
      <w:pPr>
        <w:spacing w:after="0" w:line="240" w:lineRule="auto"/>
        <w:rPr>
          <w:rFonts w:ascii="Times New Roman" w:eastAsia="Times New Roman" w:hAnsi="Times New Roman" w:cs="Times New Roman"/>
          <w:b/>
          <w:bCs/>
          <w:sz w:val="24"/>
          <w:szCs w:val="24"/>
        </w:rPr>
      </w:pPr>
    </w:p>
    <w:p w:rsidR="00054872" w:rsidRDefault="00054872" w:rsidP="006501D4">
      <w:pPr>
        <w:spacing w:after="0" w:line="240" w:lineRule="auto"/>
        <w:rPr>
          <w:rFonts w:ascii="Times New Roman" w:eastAsia="Times New Roman" w:hAnsi="Times New Roman" w:cs="Times New Roman"/>
          <w:b/>
          <w:bCs/>
          <w:sz w:val="24"/>
          <w:szCs w:val="24"/>
        </w:rPr>
      </w:pPr>
    </w:p>
    <w:p w:rsidR="00054872" w:rsidRDefault="00054872" w:rsidP="006501D4">
      <w:pPr>
        <w:spacing w:after="0" w:line="240" w:lineRule="auto"/>
        <w:rPr>
          <w:rFonts w:ascii="Times New Roman" w:eastAsia="Times New Roman" w:hAnsi="Times New Roman" w:cs="Times New Roman"/>
          <w:b/>
          <w:bCs/>
          <w:sz w:val="24"/>
          <w:szCs w:val="24"/>
        </w:rPr>
      </w:pPr>
    </w:p>
    <w:p w:rsidR="00DD249A" w:rsidRDefault="00DD249A" w:rsidP="006501D4">
      <w:pPr>
        <w:spacing w:after="0" w:line="240" w:lineRule="auto"/>
        <w:rPr>
          <w:rFonts w:ascii="Times New Roman" w:eastAsia="Times New Roman" w:hAnsi="Times New Roman" w:cs="Times New Roman"/>
          <w:b/>
          <w:bCs/>
          <w:sz w:val="24"/>
          <w:szCs w:val="24"/>
        </w:rPr>
      </w:pPr>
    </w:p>
    <w:p w:rsidR="00054872" w:rsidRPr="00180776" w:rsidRDefault="00054872"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r w:rsidRPr="00180776">
        <w:rPr>
          <w:rFonts w:ascii="Times New Roman" w:hAnsi="Times New Roman"/>
          <w:b/>
          <w:sz w:val="24"/>
          <w:u w:val="single"/>
        </w:rPr>
        <w:lastRenderedPageBreak/>
        <w:t>Procedimientos médicamente necesarios/Ambulatorios (excepto gastrointestinales):</w:t>
      </w: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 xml:space="preserve">Hasta el 100 % del Nivel Federal de Pobreza: $150 por procedimiento </w:t>
      </w:r>
    </w:p>
    <w:p w:rsidR="006501D4" w:rsidRPr="00180776" w:rsidRDefault="006501D4" w:rsidP="006501D4">
      <w:pPr>
        <w:spacing w:after="0" w:line="240" w:lineRule="auto"/>
        <w:ind w:left="144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125 % del Nivel Federal de Pobreza: $300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150 % del Nivel Federal de Pobreza: $400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 xml:space="preserve">Hasta el 175 % del Nivel Federal de Pobreza: $600 por procedimiento  </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$1000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$1,400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$1,600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$2,000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500 % del Nivel Federal de Pobreza: $3,500 por procedimiento</w:t>
      </w:r>
    </w:p>
    <w:p w:rsidR="006501D4" w:rsidRPr="00180776" w:rsidRDefault="006501D4" w:rsidP="006501D4">
      <w:pPr>
        <w:spacing w:after="0" w:line="240" w:lineRule="auto"/>
        <w:rPr>
          <w:rFonts w:ascii="Times New Roman" w:eastAsia="Times New Roman" w:hAnsi="Times New Roman" w:cs="Times New Roman"/>
          <w:b/>
          <w:bCs/>
          <w:sz w:val="24"/>
          <w:szCs w:val="24"/>
        </w:rPr>
      </w:pPr>
      <w:r w:rsidRPr="00180776">
        <w:rPr>
          <w:rFonts w:ascii="Times New Roman" w:hAnsi="Times New Roman"/>
          <w:b/>
        </w:rPr>
        <w:t xml:space="preserve">     </w:t>
      </w: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Más del 500 % del Nivel Federal de Pobreza: descuento de cortesía de $5,000</w:t>
      </w: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spacing w:after="0" w:line="240" w:lineRule="auto"/>
        <w:ind w:left="360" w:hanging="360"/>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spacing w:after="0" w:line="240" w:lineRule="auto"/>
        <w:ind w:left="360" w:hanging="360"/>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r w:rsidRPr="00180776">
        <w:rPr>
          <w:rFonts w:ascii="Times New Roman" w:hAnsi="Times New Roman"/>
          <w:b/>
          <w:sz w:val="24"/>
          <w:u w:val="single"/>
        </w:rPr>
        <w:t>Procedimientos médicamente necesarios - Gastrointestinal:</w:t>
      </w: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 xml:space="preserve">Hasta el 100 % del Nivel Federal de Pobreza: $100 por procedimiento </w:t>
      </w:r>
    </w:p>
    <w:p w:rsidR="006501D4" w:rsidRPr="00180776" w:rsidRDefault="006501D4" w:rsidP="006501D4">
      <w:pPr>
        <w:spacing w:after="0" w:line="240" w:lineRule="auto"/>
        <w:ind w:left="144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125 % del Nivel Federal de Pobreza: $150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150 % del Nivel Federal de Pobreza: $200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 xml:space="preserve">Hasta el 175 % del Nivel Federal de Pobreza: $300 por procedimiento  </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$500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$700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$800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$1,000 por procedimiento</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500 % del Nivel Federal de Pobreza: $1,800 por procedimiento</w:t>
      </w:r>
    </w:p>
    <w:p w:rsidR="006501D4" w:rsidRPr="00180776" w:rsidRDefault="006501D4" w:rsidP="006501D4">
      <w:pPr>
        <w:spacing w:after="0" w:line="240" w:lineRule="auto"/>
        <w:rPr>
          <w:rFonts w:ascii="Times New Roman" w:eastAsia="Times New Roman" w:hAnsi="Times New Roman" w:cs="Times New Roman"/>
          <w:b/>
          <w:bCs/>
          <w:sz w:val="24"/>
          <w:szCs w:val="24"/>
        </w:rPr>
      </w:pPr>
      <w:r w:rsidRPr="00180776">
        <w:rPr>
          <w:rFonts w:ascii="Times New Roman" w:hAnsi="Times New Roman"/>
          <w:b/>
        </w:rPr>
        <w:t xml:space="preserve">     </w:t>
      </w: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 xml:space="preserve">Más del 500 % del Nivel Federal de Pobreza: descuento de cortesía de $2,500 </w:t>
      </w: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Pr="00180776" w:rsidRDefault="00145A8B" w:rsidP="006501D4">
      <w:pPr>
        <w:spacing w:after="0" w:line="240" w:lineRule="auto"/>
        <w:rPr>
          <w:rFonts w:ascii="Times New Roman" w:eastAsia="Times New Roman" w:hAnsi="Times New Roman" w:cs="Times New Roman"/>
          <w:b/>
          <w:bCs/>
          <w:sz w:val="24"/>
          <w:szCs w:val="24"/>
          <w:u w:val="single"/>
        </w:rPr>
      </w:pPr>
    </w:p>
    <w:p w:rsidR="005230B0" w:rsidRPr="00180776" w:rsidRDefault="005230B0"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r w:rsidRPr="00180776">
        <w:rPr>
          <w:rFonts w:ascii="Times New Roman" w:hAnsi="Times New Roman"/>
          <w:b/>
          <w:sz w:val="24"/>
          <w:u w:val="single"/>
        </w:rPr>
        <w:lastRenderedPageBreak/>
        <w:t>Radiología - Radiografías:</w:t>
      </w:r>
    </w:p>
    <w:p w:rsidR="006501D4" w:rsidRPr="00180776" w:rsidRDefault="006501D4" w:rsidP="006501D4">
      <w:pPr>
        <w:spacing w:after="0" w:line="240" w:lineRule="auto"/>
        <w:ind w:left="360" w:hanging="36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100 % del Nivel Federal de Pobreza: $15</w:t>
      </w:r>
    </w:p>
    <w:p w:rsidR="006501D4" w:rsidRPr="00180776" w:rsidRDefault="006501D4" w:rsidP="006501D4">
      <w:pPr>
        <w:spacing w:after="0" w:line="240" w:lineRule="auto"/>
        <w:ind w:left="1440"/>
        <w:rPr>
          <w:rFonts w:ascii="Times New Roman" w:eastAsia="Times New Roman" w:hAnsi="Times New Roman" w:cs="Times New Roman"/>
          <w:b/>
          <w:bCs/>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125 % del Nivel Federal de Pobreza: $15</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     Hasta el 150 % del Nivel Federal de Pobreza: $15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175 % del Nivel Federal de Pobreza: $15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$15</w:t>
      </w:r>
    </w:p>
    <w:p w:rsidR="006501D4" w:rsidRPr="00180776" w:rsidRDefault="006501D4" w:rsidP="006508ED">
      <w:pPr>
        <w:spacing w:after="0" w:line="240" w:lineRule="auto"/>
        <w:ind w:left="180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$15</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$15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$15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500 % del Nivel Federal de Pobreza: $50</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Más del 500 % del Nivel Federal de Pobreza: descuento de cortesía al 100 % de la Tasa de Indemnización de Blue Cross</w:t>
      </w:r>
    </w:p>
    <w:p w:rsidR="006501D4" w:rsidRPr="00180776" w:rsidRDefault="006501D4" w:rsidP="006501D4">
      <w:pPr>
        <w:spacing w:after="0" w:line="240" w:lineRule="auto"/>
        <w:rPr>
          <w:rFonts w:ascii="Times New Roman" w:eastAsia="Times New Roman" w:hAnsi="Times New Roman" w:cs="Times New Roman"/>
          <w:sz w:val="24"/>
          <w:szCs w:val="24"/>
        </w:rPr>
      </w:pPr>
    </w:p>
    <w:p w:rsidR="006501D4" w:rsidRPr="00180776" w:rsidRDefault="006501D4" w:rsidP="006501D4">
      <w:pPr>
        <w:spacing w:after="0" w:line="240" w:lineRule="auto"/>
        <w:ind w:left="1800"/>
        <w:rPr>
          <w:rFonts w:ascii="Times New Roman" w:eastAsia="Times New Roman" w:hAnsi="Times New Roman" w:cs="Times New Roman"/>
          <w:b/>
          <w:bCs/>
          <w:szCs w:val="24"/>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r w:rsidRPr="00180776">
        <w:rPr>
          <w:rFonts w:ascii="Times New Roman" w:hAnsi="Times New Roman"/>
          <w:b/>
        </w:rPr>
        <w:t xml:space="preserve"> </w:t>
      </w: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r w:rsidRPr="00180776">
        <w:rPr>
          <w:rFonts w:ascii="Times New Roman" w:hAnsi="Times New Roman"/>
          <w:b/>
          <w:sz w:val="24"/>
          <w:u w:val="single"/>
        </w:rPr>
        <w:t>Radiología - Ecografías:</w:t>
      </w:r>
    </w:p>
    <w:p w:rsidR="006501D4" w:rsidRPr="00180776" w:rsidRDefault="006501D4"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100 % del Nivel Federal de Pobreza: $15</w:t>
      </w:r>
    </w:p>
    <w:p w:rsidR="006501D4" w:rsidRPr="00180776" w:rsidRDefault="006501D4" w:rsidP="006501D4">
      <w:pPr>
        <w:spacing w:after="0" w:line="240" w:lineRule="auto"/>
        <w:ind w:left="144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125 % del Nivel Federal de Pobreza: $20</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     Hasta el 150 % del Nivel Federal de Pobreza: $25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175 % del Nivel Federal de Pobreza: $30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$35</w:t>
      </w:r>
    </w:p>
    <w:p w:rsidR="006501D4" w:rsidRPr="00180776" w:rsidRDefault="006501D4" w:rsidP="006508ED">
      <w:pPr>
        <w:spacing w:after="0" w:line="240" w:lineRule="auto"/>
        <w:ind w:left="180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$40</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$45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$50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500 % del Nivel Federal de Pobreza: $100</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Más del 500 % del Nivel Federal de Pobreza: descuento de cortesía al 100 % de la Tasa de Indemnización de Blue Cross</w:t>
      </w:r>
    </w:p>
    <w:p w:rsidR="006501D4" w:rsidRPr="00180776" w:rsidRDefault="006501D4" w:rsidP="006501D4">
      <w:pPr>
        <w:spacing w:after="0" w:line="240" w:lineRule="auto"/>
        <w:rPr>
          <w:rFonts w:ascii="Times New Roman" w:eastAsia="Times New Roman" w:hAnsi="Times New Roman" w:cs="Times New Roman"/>
          <w:sz w:val="24"/>
          <w:szCs w:val="24"/>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Pr="00180776" w:rsidRDefault="00145A8B"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r w:rsidRPr="00180776">
        <w:rPr>
          <w:rFonts w:ascii="Times New Roman" w:hAnsi="Times New Roman"/>
          <w:b/>
          <w:sz w:val="24"/>
          <w:u w:val="single"/>
        </w:rPr>
        <w:lastRenderedPageBreak/>
        <w:t>Radiología - Mamografías:</w:t>
      </w:r>
    </w:p>
    <w:p w:rsidR="006501D4" w:rsidRPr="00180776" w:rsidRDefault="006501D4" w:rsidP="006501D4">
      <w:pPr>
        <w:spacing w:after="0" w:line="240" w:lineRule="auto"/>
        <w:ind w:left="360" w:hanging="36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100 % del Nivel Federal de Pobreza: $25</w:t>
      </w:r>
    </w:p>
    <w:p w:rsidR="006501D4" w:rsidRPr="00180776" w:rsidRDefault="006501D4" w:rsidP="006501D4">
      <w:pPr>
        <w:spacing w:after="0" w:line="240" w:lineRule="auto"/>
        <w:ind w:left="1440"/>
        <w:rPr>
          <w:rFonts w:ascii="Times New Roman" w:eastAsia="Times New Roman" w:hAnsi="Times New Roman" w:cs="Times New Roman"/>
          <w:b/>
          <w:bCs/>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125 % del Nivel Federal de Pobreza: $30</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     Hasta el 150 % del Nivel Federal de Pobreza: $35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175 % del Nivel Federal de Pobreza: $40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$50</w:t>
      </w:r>
    </w:p>
    <w:p w:rsidR="006501D4" w:rsidRPr="00180776" w:rsidRDefault="006501D4" w:rsidP="006508ED">
      <w:pPr>
        <w:spacing w:after="0" w:line="240" w:lineRule="auto"/>
        <w:ind w:left="180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$60</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$70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$90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500 % del Nivel Federal de Pobreza: $130</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Más del 500 % del Nivel Federal de Pobreza: descuento de cortesía al 100 % de la Tasa de Indemnización de Blue Cross</w:t>
      </w: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r w:rsidRPr="00180776">
        <w:rPr>
          <w:rFonts w:ascii="Times New Roman" w:hAnsi="Times New Roman"/>
          <w:b/>
          <w:sz w:val="24"/>
          <w:u w:val="single"/>
        </w:rPr>
        <w:t>Radiología - Tomografías computadas:</w:t>
      </w:r>
    </w:p>
    <w:p w:rsidR="006501D4" w:rsidRPr="00180776" w:rsidRDefault="006501D4" w:rsidP="006501D4">
      <w:pPr>
        <w:spacing w:after="0" w:line="240" w:lineRule="auto"/>
        <w:ind w:left="360" w:hanging="36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100 % del Nivel Federal de Pobreza: $40</w:t>
      </w:r>
    </w:p>
    <w:p w:rsidR="006501D4" w:rsidRPr="00180776" w:rsidRDefault="006501D4" w:rsidP="006501D4">
      <w:pPr>
        <w:spacing w:after="0" w:line="240" w:lineRule="auto"/>
        <w:ind w:left="1440"/>
        <w:rPr>
          <w:rFonts w:ascii="Times New Roman" w:eastAsia="Times New Roman" w:hAnsi="Times New Roman" w:cs="Times New Roman"/>
          <w:b/>
          <w:bCs/>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125 % del Nivel Federal de Pobreza: $45</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     Hasta el 150 % del Nivel Federal de Pobreza: $50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175 % del Nivel Federal de Pobreza: $60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$75</w:t>
      </w:r>
    </w:p>
    <w:p w:rsidR="006501D4" w:rsidRPr="00180776" w:rsidRDefault="006501D4" w:rsidP="006508ED">
      <w:pPr>
        <w:spacing w:after="0" w:line="240" w:lineRule="auto"/>
        <w:ind w:left="180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$90</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$105</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$130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500 % del Nivel Federal de Pobreza: $250</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Más del 500 % del Nivel Federal de Pobreza: descuento de cortesía al 100 % de la Tasa de Indemnización de Blue Cross</w:t>
      </w: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p>
    <w:p w:rsidR="006501D4" w:rsidRDefault="006501D4"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Default="00145A8B" w:rsidP="006501D4">
      <w:pPr>
        <w:spacing w:after="0" w:line="240" w:lineRule="auto"/>
        <w:rPr>
          <w:rFonts w:ascii="Times New Roman" w:eastAsia="Times New Roman" w:hAnsi="Times New Roman" w:cs="Times New Roman"/>
          <w:b/>
          <w:bCs/>
          <w:sz w:val="24"/>
          <w:szCs w:val="24"/>
          <w:u w:val="single"/>
        </w:rPr>
      </w:pPr>
    </w:p>
    <w:p w:rsidR="00145A8B" w:rsidRPr="00180776" w:rsidRDefault="00145A8B" w:rsidP="006501D4">
      <w:pPr>
        <w:spacing w:after="0" w:line="240" w:lineRule="auto"/>
        <w:rPr>
          <w:rFonts w:ascii="Times New Roman" w:eastAsia="Times New Roman" w:hAnsi="Times New Roman" w:cs="Times New Roman"/>
          <w:b/>
          <w:bCs/>
          <w:sz w:val="24"/>
          <w:szCs w:val="24"/>
          <w:u w:val="single"/>
        </w:rPr>
      </w:pPr>
    </w:p>
    <w:p w:rsidR="00B11D01" w:rsidRPr="00180776" w:rsidRDefault="00B11D01" w:rsidP="006501D4">
      <w:pPr>
        <w:spacing w:after="0" w:line="240" w:lineRule="auto"/>
        <w:rPr>
          <w:rFonts w:ascii="Times New Roman" w:eastAsia="Times New Roman" w:hAnsi="Times New Roman" w:cs="Times New Roman"/>
          <w:b/>
          <w:bCs/>
          <w:sz w:val="24"/>
          <w:szCs w:val="24"/>
          <w:u w:val="single"/>
        </w:rPr>
      </w:pPr>
    </w:p>
    <w:p w:rsidR="006501D4" w:rsidRPr="00180776" w:rsidRDefault="006501D4" w:rsidP="006501D4">
      <w:pPr>
        <w:spacing w:after="0" w:line="240" w:lineRule="auto"/>
        <w:rPr>
          <w:rFonts w:ascii="Times New Roman" w:eastAsia="Times New Roman" w:hAnsi="Times New Roman" w:cs="Times New Roman"/>
          <w:b/>
          <w:bCs/>
          <w:sz w:val="24"/>
          <w:szCs w:val="24"/>
          <w:u w:val="single"/>
        </w:rPr>
      </w:pPr>
      <w:r w:rsidRPr="00180776">
        <w:rPr>
          <w:rFonts w:ascii="Times New Roman" w:hAnsi="Times New Roman"/>
          <w:b/>
          <w:sz w:val="24"/>
          <w:u w:val="single"/>
        </w:rPr>
        <w:lastRenderedPageBreak/>
        <w:t>Radiología - Resonancias magnéticas:</w:t>
      </w:r>
    </w:p>
    <w:p w:rsidR="006501D4" w:rsidRPr="00180776" w:rsidRDefault="006501D4" w:rsidP="006501D4">
      <w:pPr>
        <w:spacing w:after="0" w:line="240" w:lineRule="auto"/>
        <w:ind w:left="360" w:hanging="36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100 % del Nivel Federal de Pobreza: $150</w:t>
      </w:r>
    </w:p>
    <w:p w:rsidR="006501D4" w:rsidRPr="00180776" w:rsidRDefault="006501D4" w:rsidP="006501D4">
      <w:pPr>
        <w:spacing w:after="0" w:line="240" w:lineRule="auto"/>
        <w:ind w:left="144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rPr>
      </w:pPr>
      <w:r w:rsidRPr="00180776">
        <w:rPr>
          <w:rFonts w:ascii="Times New Roman" w:hAnsi="Times New Roman"/>
          <w:b/>
        </w:rPr>
        <w:t>Hasta el 125 % del Nivel Federal de Pobreza: $175</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w:t>
      </w:r>
    </w:p>
    <w:p w:rsidR="006501D4" w:rsidRPr="00180776" w:rsidRDefault="006501D4" w:rsidP="006501D4">
      <w:pPr>
        <w:spacing w:after="0" w:line="240" w:lineRule="auto"/>
        <w:rPr>
          <w:rFonts w:ascii="Times New Roman" w:eastAsia="Times New Roman" w:hAnsi="Times New Roman" w:cs="Times New Roman"/>
          <w:b/>
          <w:bCs/>
          <w:szCs w:val="24"/>
        </w:rPr>
      </w:pPr>
      <w:r w:rsidRPr="00180776">
        <w:rPr>
          <w:rFonts w:ascii="Times New Roman" w:hAnsi="Times New Roman"/>
          <w:b/>
        </w:rPr>
        <w:t xml:space="preserve">                          -     Hasta el 150 % del Nivel Federal de Pobreza: $200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175 % del Nivel Federal de Pobreza: $250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185 % del Nivel Federal de Pobreza: $300</w:t>
      </w:r>
    </w:p>
    <w:p w:rsidR="006501D4" w:rsidRPr="00180776" w:rsidRDefault="006501D4" w:rsidP="006508ED">
      <w:pPr>
        <w:spacing w:after="0" w:line="240" w:lineRule="auto"/>
        <w:ind w:left="180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200 % del Nivel Federal de Pobreza: $350</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250 % del Nivel Federal de Pobreza: $400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Hasta el 300 % del Nivel Federal de Pobreza: $500</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 xml:space="preserve">Hasta el 500 % del Nivel Federal de Pobreza: $550 </w:t>
      </w:r>
    </w:p>
    <w:p w:rsidR="006501D4" w:rsidRPr="00180776" w:rsidRDefault="006501D4" w:rsidP="006501D4">
      <w:pPr>
        <w:spacing w:after="0" w:line="240" w:lineRule="auto"/>
        <w:rPr>
          <w:rFonts w:ascii="Times New Roman" w:eastAsia="Times New Roman" w:hAnsi="Times New Roman" w:cs="Times New Roman"/>
          <w:b/>
          <w:bCs/>
          <w:szCs w:val="24"/>
        </w:rPr>
      </w:pPr>
    </w:p>
    <w:p w:rsidR="006501D4" w:rsidRPr="00180776" w:rsidRDefault="006501D4" w:rsidP="006501D4">
      <w:pPr>
        <w:numPr>
          <w:ilvl w:val="0"/>
          <w:numId w:val="10"/>
        </w:numPr>
        <w:spacing w:after="0" w:line="240" w:lineRule="auto"/>
        <w:rPr>
          <w:rFonts w:ascii="Times New Roman" w:eastAsia="Times New Roman" w:hAnsi="Times New Roman" w:cs="Times New Roman"/>
          <w:b/>
          <w:bCs/>
          <w:szCs w:val="24"/>
        </w:rPr>
      </w:pPr>
      <w:r w:rsidRPr="00180776">
        <w:rPr>
          <w:rFonts w:ascii="Times New Roman" w:hAnsi="Times New Roman"/>
          <w:b/>
        </w:rPr>
        <w:t>Más del 500 % del Nivel Federal de Pobreza: descuento de cortesía al 100 % de la Tasa de Indemnización de Blue Cross</w:t>
      </w:r>
    </w:p>
    <w:p w:rsidR="006501D4" w:rsidRPr="00180776" w:rsidRDefault="006501D4" w:rsidP="006501D4">
      <w:pPr>
        <w:spacing w:after="0" w:line="240" w:lineRule="auto"/>
        <w:ind w:left="720"/>
        <w:rPr>
          <w:rFonts w:ascii="Times New Roman" w:eastAsia="Times New Roman" w:hAnsi="Times New Roman" w:cs="Times New Roman"/>
          <w:b/>
          <w:bCs/>
          <w:szCs w:val="24"/>
        </w:rPr>
      </w:pPr>
    </w:p>
    <w:p w:rsidR="0045300E" w:rsidRPr="00180776" w:rsidRDefault="006501D4" w:rsidP="006501D4">
      <w:pPr>
        <w:spacing w:after="0" w:line="240" w:lineRule="auto"/>
        <w:rPr>
          <w:rFonts w:ascii="Times New Roman" w:eastAsia="Times New Roman" w:hAnsi="Times New Roman" w:cs="Times New Roman"/>
          <w:b/>
          <w:bCs/>
          <w:sz w:val="24"/>
          <w:szCs w:val="24"/>
        </w:rPr>
      </w:pPr>
      <w:r w:rsidRPr="00180776">
        <w:rPr>
          <w:rFonts w:ascii="Times New Roman" w:hAnsi="Times New Roman"/>
          <w:b/>
          <w:sz w:val="24"/>
        </w:rPr>
        <w:t xml:space="preserve">   </w:t>
      </w:r>
    </w:p>
    <w:p w:rsidR="0045300E" w:rsidRPr="00180776" w:rsidRDefault="0045300E" w:rsidP="006501D4">
      <w:pPr>
        <w:spacing w:after="0" w:line="240" w:lineRule="auto"/>
        <w:rPr>
          <w:rFonts w:ascii="Times New Roman" w:eastAsia="Times New Roman" w:hAnsi="Times New Roman" w:cs="Times New Roman"/>
          <w:b/>
          <w:bCs/>
          <w:sz w:val="24"/>
          <w:szCs w:val="24"/>
        </w:rPr>
      </w:pPr>
    </w:p>
    <w:p w:rsidR="006501D4" w:rsidRPr="00180776" w:rsidRDefault="0045300E" w:rsidP="006501D4">
      <w:pPr>
        <w:spacing w:after="0" w:line="240" w:lineRule="auto"/>
        <w:rPr>
          <w:rFonts w:ascii="Times New Roman" w:eastAsia="Times New Roman" w:hAnsi="Times New Roman" w:cs="Times New Roman"/>
          <w:b/>
          <w:sz w:val="24"/>
          <w:szCs w:val="24"/>
          <w:u w:val="single"/>
        </w:rPr>
      </w:pPr>
      <w:r w:rsidRPr="00180776">
        <w:rPr>
          <w:rFonts w:ascii="Times New Roman" w:hAnsi="Times New Roman"/>
          <w:color w:val="000000" w:themeColor="text1"/>
          <w:sz w:val="24"/>
        </w:rPr>
        <w:t xml:space="preserve">Para las tarifas hospitalarias de hasta el 500 % del FPL, existe una comparación con los montos generalmente facturados, y el paciente es responsable por el menor de los dos. </w:t>
      </w:r>
      <w:r w:rsidRPr="00180776">
        <w:rPr>
          <w:rFonts w:ascii="Times New Roman" w:hAnsi="Times New Roman"/>
          <w:b/>
          <w:sz w:val="24"/>
        </w:rPr>
        <w:t xml:space="preserve">                   </w:t>
      </w:r>
    </w:p>
    <w:p w:rsidR="006501D4" w:rsidRPr="00180776" w:rsidRDefault="006501D4" w:rsidP="006501D4">
      <w:pPr>
        <w:spacing w:after="0" w:line="240" w:lineRule="auto"/>
        <w:rPr>
          <w:rFonts w:ascii="Times New Roman" w:eastAsia="Times New Roman" w:hAnsi="Times New Roman" w:cs="Times New Roman"/>
          <w:b/>
          <w:sz w:val="24"/>
          <w:szCs w:val="24"/>
          <w:u w:val="single"/>
        </w:rPr>
      </w:pPr>
    </w:p>
    <w:p w:rsidR="006501D4" w:rsidRPr="00180776" w:rsidRDefault="006501D4" w:rsidP="006501D4">
      <w:pPr>
        <w:spacing w:after="0" w:line="240" w:lineRule="auto"/>
        <w:rPr>
          <w:rFonts w:ascii="Times New Roman" w:eastAsia="Times New Roman" w:hAnsi="Times New Roman" w:cs="Times New Roman"/>
          <w:b/>
          <w:sz w:val="24"/>
          <w:szCs w:val="24"/>
          <w:u w:val="single"/>
        </w:rPr>
      </w:pPr>
      <w:r w:rsidRPr="00180776">
        <w:rPr>
          <w:rFonts w:ascii="Times New Roman" w:hAnsi="Times New Roman"/>
          <w:b/>
          <w:sz w:val="24"/>
          <w:u w:val="single"/>
        </w:rPr>
        <w:t xml:space="preserve">Todos los montos anteriores incluyen el recargo del Estado de Nueva York.   </w:t>
      </w:r>
    </w:p>
    <w:p w:rsidR="006501D4" w:rsidRPr="00180776" w:rsidRDefault="006501D4" w:rsidP="006501D4">
      <w:pPr>
        <w:spacing w:after="0" w:line="240" w:lineRule="auto"/>
        <w:rPr>
          <w:rFonts w:ascii="Times New Roman" w:eastAsia="Times New Roman" w:hAnsi="Times New Roman" w:cs="Times New Roman"/>
          <w:b/>
          <w:bCs/>
          <w:sz w:val="24"/>
          <w:szCs w:val="24"/>
        </w:rPr>
      </w:pPr>
    </w:p>
    <w:tbl>
      <w:tblPr>
        <w:tblW w:w="10533" w:type="dxa"/>
        <w:tblInd w:w="-758" w:type="dxa"/>
        <w:tblCellMar>
          <w:left w:w="0" w:type="dxa"/>
          <w:right w:w="0" w:type="dxa"/>
        </w:tblCellMar>
        <w:tblLook w:val="0000" w:firstRow="0" w:lastRow="0" w:firstColumn="0" w:lastColumn="0" w:noHBand="0" w:noVBand="0"/>
      </w:tblPr>
      <w:tblGrid>
        <w:gridCol w:w="11784"/>
      </w:tblGrid>
      <w:tr w:rsidR="006501D4" w:rsidRPr="00180776" w:rsidTr="00206EFD">
        <w:trPr>
          <w:trHeight w:val="255"/>
        </w:trPr>
        <w:tc>
          <w:tcPr>
            <w:tcW w:w="10533" w:type="dxa"/>
            <w:tcBorders>
              <w:top w:val="nil"/>
              <w:left w:val="nil"/>
              <w:bottom w:val="nil"/>
              <w:right w:val="nil"/>
            </w:tcBorders>
            <w:noWrap/>
            <w:tcMar>
              <w:top w:w="15" w:type="dxa"/>
              <w:left w:w="15" w:type="dxa"/>
              <w:bottom w:w="0" w:type="dxa"/>
              <w:right w:w="15" w:type="dxa"/>
            </w:tcMar>
            <w:vAlign w:val="bottom"/>
          </w:tcPr>
          <w:p w:rsidR="006501D4" w:rsidRPr="00180776" w:rsidRDefault="006501D4" w:rsidP="006501D4">
            <w:pPr>
              <w:spacing w:after="0" w:line="240" w:lineRule="auto"/>
              <w:rPr>
                <w:rFonts w:ascii="Times New Roman" w:eastAsia="Arial Unicode MS" w:hAnsi="Times New Roman" w:cs="Times New Roman"/>
                <w:sz w:val="24"/>
                <w:szCs w:val="20"/>
              </w:rPr>
            </w:pPr>
          </w:p>
        </w:tc>
      </w:tr>
      <w:tr w:rsidR="006501D4" w:rsidRPr="00180776" w:rsidTr="00206EF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6501D4" w:rsidRPr="00180776" w:rsidRDefault="006501D4" w:rsidP="006501D4">
            <w:pPr>
              <w:spacing w:after="0" w:line="240" w:lineRule="auto"/>
              <w:rPr>
                <w:rFonts w:ascii="Times New Roman" w:eastAsia="Times New Roman" w:hAnsi="Times New Roman" w:cs="Times New Roman"/>
                <w:szCs w:val="16"/>
              </w:rPr>
            </w:pPr>
          </w:p>
          <w:p w:rsidR="006501D4" w:rsidRPr="00180776" w:rsidRDefault="006501D4" w:rsidP="006501D4">
            <w:pPr>
              <w:spacing w:after="0" w:line="240" w:lineRule="auto"/>
              <w:rPr>
                <w:rFonts w:ascii="Times New Roman" w:eastAsia="Times New Roman" w:hAnsi="Times New Roman" w:cs="Times New Roman"/>
                <w:szCs w:val="16"/>
              </w:rPr>
            </w:pPr>
          </w:p>
          <w:p w:rsidR="006501D4" w:rsidRPr="00180776" w:rsidRDefault="006501D4" w:rsidP="006501D4">
            <w:pPr>
              <w:spacing w:after="0" w:line="240" w:lineRule="auto"/>
              <w:rPr>
                <w:rFonts w:ascii="Times New Roman" w:eastAsia="Times New Roman" w:hAnsi="Times New Roman" w:cs="Times New Roman"/>
                <w:szCs w:val="16"/>
              </w:rPr>
            </w:pPr>
            <w:r w:rsidRPr="00180776">
              <w:rPr>
                <w:rFonts w:ascii="Times New Roman" w:hAnsi="Times New Roman"/>
              </w:rPr>
              <w:t xml:space="preserve">             Todas las decisiones desfavorables o aplicaciones denegadas se pueden apelar dentro de los 30 días de la toma de la decisión. </w:t>
            </w:r>
          </w:p>
          <w:p w:rsidR="006501D4" w:rsidRPr="00180776" w:rsidRDefault="006501D4" w:rsidP="006501D4">
            <w:pPr>
              <w:spacing w:after="0" w:line="240" w:lineRule="auto"/>
              <w:rPr>
                <w:rFonts w:ascii="Times New Roman" w:eastAsia="Arial Unicode MS" w:hAnsi="Times New Roman" w:cs="Times New Roman"/>
                <w:sz w:val="24"/>
                <w:szCs w:val="16"/>
              </w:rPr>
            </w:pPr>
          </w:p>
        </w:tc>
      </w:tr>
      <w:tr w:rsidR="006501D4" w:rsidRPr="00180776" w:rsidTr="00206EFD">
        <w:trPr>
          <w:trHeight w:val="255"/>
        </w:trPr>
        <w:tc>
          <w:tcPr>
            <w:tcW w:w="0" w:type="auto"/>
            <w:tcBorders>
              <w:top w:val="nil"/>
              <w:left w:val="nil"/>
              <w:bottom w:val="nil"/>
              <w:right w:val="nil"/>
            </w:tcBorders>
            <w:noWrap/>
            <w:tcMar>
              <w:top w:w="15" w:type="dxa"/>
              <w:left w:w="15" w:type="dxa"/>
              <w:bottom w:w="0" w:type="dxa"/>
              <w:right w:w="15" w:type="dxa"/>
            </w:tcMar>
            <w:vAlign w:val="bottom"/>
          </w:tcPr>
          <w:p w:rsidR="006501D4" w:rsidRPr="00180776" w:rsidRDefault="006501D4" w:rsidP="006501D4">
            <w:pPr>
              <w:spacing w:after="0" w:line="240" w:lineRule="auto"/>
              <w:rPr>
                <w:rFonts w:ascii="Times New Roman" w:eastAsia="Times New Roman" w:hAnsi="Times New Roman" w:cs="Times New Roman"/>
                <w:szCs w:val="16"/>
              </w:rPr>
            </w:pPr>
          </w:p>
        </w:tc>
      </w:tr>
    </w:tbl>
    <w:p w:rsidR="006501D4" w:rsidRPr="00180776" w:rsidRDefault="006501D4" w:rsidP="006501D4">
      <w:pPr>
        <w:spacing w:after="0" w:line="240" w:lineRule="auto"/>
        <w:rPr>
          <w:rFonts w:ascii="Times New Roman" w:eastAsia="Times New Roman" w:hAnsi="Times New Roman" w:cs="Times New Roman"/>
          <w:b/>
          <w:bCs/>
          <w:sz w:val="24"/>
          <w:szCs w:val="24"/>
        </w:rPr>
      </w:pPr>
    </w:p>
    <w:p w:rsidR="007339A9" w:rsidRPr="00180776" w:rsidRDefault="007339A9" w:rsidP="006501D4">
      <w:pPr>
        <w:spacing w:after="0" w:line="240" w:lineRule="auto"/>
        <w:rPr>
          <w:rFonts w:ascii="Times New Roman" w:eastAsia="Times New Roman" w:hAnsi="Times New Roman" w:cs="Times New Roman"/>
          <w:b/>
          <w:bCs/>
          <w:sz w:val="24"/>
          <w:szCs w:val="24"/>
        </w:rPr>
      </w:pPr>
    </w:p>
    <w:p w:rsidR="007339A9" w:rsidRPr="00180776" w:rsidRDefault="007339A9" w:rsidP="006501D4">
      <w:pPr>
        <w:spacing w:after="0" w:line="240" w:lineRule="auto"/>
        <w:rPr>
          <w:rFonts w:ascii="Times New Roman" w:eastAsia="Times New Roman" w:hAnsi="Times New Roman" w:cs="Times New Roman"/>
          <w:b/>
          <w:bCs/>
          <w:sz w:val="24"/>
          <w:szCs w:val="24"/>
        </w:rPr>
      </w:pPr>
    </w:p>
    <w:p w:rsidR="007339A9" w:rsidRPr="00180776" w:rsidRDefault="007339A9" w:rsidP="006501D4">
      <w:pPr>
        <w:spacing w:after="0" w:line="240" w:lineRule="auto"/>
        <w:rPr>
          <w:rFonts w:ascii="Times New Roman" w:eastAsia="Times New Roman" w:hAnsi="Times New Roman" w:cs="Times New Roman"/>
          <w:b/>
          <w:bCs/>
          <w:sz w:val="24"/>
          <w:szCs w:val="24"/>
        </w:rPr>
      </w:pPr>
    </w:p>
    <w:p w:rsidR="007339A9" w:rsidRPr="00180776" w:rsidRDefault="007339A9" w:rsidP="006501D4">
      <w:pPr>
        <w:spacing w:after="0" w:line="240" w:lineRule="auto"/>
        <w:rPr>
          <w:rFonts w:ascii="Times New Roman" w:eastAsia="Times New Roman" w:hAnsi="Times New Roman" w:cs="Times New Roman"/>
          <w:b/>
          <w:bCs/>
          <w:sz w:val="24"/>
          <w:szCs w:val="24"/>
        </w:rPr>
      </w:pPr>
    </w:p>
    <w:p w:rsidR="006501D4" w:rsidRPr="00180776" w:rsidRDefault="006501D4" w:rsidP="006501D4">
      <w:pPr>
        <w:spacing w:after="120" w:line="240" w:lineRule="auto"/>
        <w:rPr>
          <w:rFonts w:ascii="Times New Roman" w:eastAsia="Times New Roman" w:hAnsi="Times New Roman" w:cs="Times New Roman"/>
        </w:rPr>
      </w:pPr>
    </w:p>
    <w:p w:rsidR="006501D4" w:rsidRPr="00180776" w:rsidRDefault="006501D4" w:rsidP="006501D4">
      <w:pPr>
        <w:spacing w:after="120" w:line="240" w:lineRule="auto"/>
        <w:rPr>
          <w:rFonts w:ascii="Times New Roman" w:eastAsia="Times New Roman" w:hAnsi="Times New Roman" w:cs="Times New Roman"/>
        </w:rPr>
      </w:pPr>
      <w:r w:rsidRPr="00180776">
        <w:rPr>
          <w:rFonts w:ascii="Times New Roman" w:hAnsi="Times New Roman"/>
        </w:rPr>
        <w:t>Aprobado por: _________________________________    Fecha: _______</w:t>
      </w:r>
      <w:r w:rsidR="00071826">
        <w:rPr>
          <w:rFonts w:ascii="Times New Roman" w:hAnsi="Times New Roman"/>
        </w:rPr>
        <w:t>4/</w:t>
      </w:r>
      <w:r w:rsidR="00DD249A">
        <w:rPr>
          <w:rFonts w:ascii="Times New Roman" w:hAnsi="Times New Roman"/>
        </w:rPr>
        <w:t>30</w:t>
      </w:r>
      <w:r w:rsidR="00071826">
        <w:rPr>
          <w:rFonts w:ascii="Times New Roman" w:hAnsi="Times New Roman"/>
        </w:rPr>
        <w:t>/201</w:t>
      </w:r>
      <w:r w:rsidR="00DD249A">
        <w:rPr>
          <w:rFonts w:ascii="Times New Roman" w:hAnsi="Times New Roman"/>
        </w:rPr>
        <w:t>8</w:t>
      </w:r>
      <w:r w:rsidRPr="00180776">
        <w:rPr>
          <w:rFonts w:ascii="Times New Roman" w:hAnsi="Times New Roman"/>
        </w:rPr>
        <w:t>_________</w:t>
      </w:r>
    </w:p>
    <w:p w:rsidR="006501D4" w:rsidRPr="00180776" w:rsidRDefault="006501D4" w:rsidP="006501D4">
      <w:pPr>
        <w:spacing w:after="120" w:line="240" w:lineRule="auto"/>
        <w:rPr>
          <w:rFonts w:ascii="Times New Roman" w:eastAsia="Times New Roman" w:hAnsi="Times New Roman" w:cs="Times New Roman"/>
        </w:rPr>
      </w:pPr>
      <w:r w:rsidRPr="00180776">
        <w:rPr>
          <w:rFonts w:ascii="Times New Roman" w:hAnsi="Times New Roman"/>
        </w:rPr>
        <w:t xml:space="preserve">                                  </w:t>
      </w:r>
      <w:r w:rsidR="00071826">
        <w:rPr>
          <w:rFonts w:ascii="Times New Roman" w:hAnsi="Times New Roman"/>
        </w:rPr>
        <w:t>Colleen Blye</w:t>
      </w:r>
      <w:r w:rsidRPr="00180776">
        <w:rPr>
          <w:rFonts w:ascii="Times New Roman" w:hAnsi="Times New Roman"/>
        </w:rPr>
        <w:t xml:space="preserve">          </w:t>
      </w:r>
    </w:p>
    <w:p w:rsidR="008C209B" w:rsidRPr="00180776" w:rsidRDefault="006501D4" w:rsidP="006501D4">
      <w:r w:rsidRPr="00180776">
        <w:rPr>
          <w:rFonts w:ascii="Times New Roman" w:hAnsi="Times New Roman"/>
        </w:rPr>
        <w:t xml:space="preserve">                                  Vicepresidente ejecutivo</w:t>
      </w:r>
      <w:r w:rsidRPr="00180776">
        <w:rPr>
          <w:rFonts w:ascii="Times New Roman" w:hAnsi="Times New Roman"/>
          <w:sz w:val="24"/>
        </w:rPr>
        <w:t xml:space="preserve">  </w:t>
      </w:r>
      <w:bookmarkStart w:id="0" w:name="_GoBack"/>
      <w:bookmarkEnd w:id="0"/>
    </w:p>
    <w:sectPr w:rsidR="008C209B" w:rsidRPr="00180776" w:rsidSect="00145A8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_ansi">
    <w:panose1 w:val="020B060902020202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CB"/>
    <w:multiLevelType w:val="hybridMultilevel"/>
    <w:tmpl w:val="7FECF840"/>
    <w:lvl w:ilvl="0" w:tplc="04090003">
      <w:start w:val="1"/>
      <w:numFmt w:val="bullet"/>
      <w:lvlText w:val="o"/>
      <w:lvlJc w:val="left"/>
      <w:pPr>
        <w:ind w:left="1242" w:hanging="360"/>
      </w:pPr>
      <w:rPr>
        <w:rFonts w:ascii="Courier New" w:hAnsi="Courier New" w:cs="Courier New" w:hint="default"/>
      </w:rPr>
    </w:lvl>
    <w:lvl w:ilvl="1" w:tplc="04090003">
      <w:start w:val="1"/>
      <w:numFmt w:val="bullet"/>
      <w:lvlText w:val="o"/>
      <w:lvlJc w:val="left"/>
      <w:pPr>
        <w:ind w:left="1962" w:hanging="360"/>
      </w:pPr>
      <w:rPr>
        <w:rFonts w:ascii="Courier New" w:hAnsi="Courier New" w:cs="Courier New" w:hint="default"/>
      </w:rPr>
    </w:lvl>
    <w:lvl w:ilvl="2" w:tplc="04090005">
      <w:start w:val="1"/>
      <w:numFmt w:val="bullet"/>
      <w:lvlText w:val=""/>
      <w:lvlJc w:val="left"/>
      <w:pPr>
        <w:ind w:left="2682" w:hanging="360"/>
      </w:pPr>
      <w:rPr>
        <w:rFonts w:ascii="Wingdings" w:hAnsi="Wingdings" w:hint="default"/>
      </w:rPr>
    </w:lvl>
    <w:lvl w:ilvl="3" w:tplc="04090001">
      <w:start w:val="1"/>
      <w:numFmt w:val="bullet"/>
      <w:lvlText w:val=""/>
      <w:lvlJc w:val="left"/>
      <w:pPr>
        <w:ind w:left="3402" w:hanging="360"/>
      </w:pPr>
      <w:rPr>
        <w:rFonts w:ascii="Symbol" w:hAnsi="Symbol" w:hint="default"/>
      </w:rPr>
    </w:lvl>
    <w:lvl w:ilvl="4" w:tplc="04090003">
      <w:start w:val="1"/>
      <w:numFmt w:val="bullet"/>
      <w:lvlText w:val="o"/>
      <w:lvlJc w:val="left"/>
      <w:pPr>
        <w:ind w:left="4122" w:hanging="360"/>
      </w:pPr>
      <w:rPr>
        <w:rFonts w:ascii="Courier New" w:hAnsi="Courier New" w:cs="Courier New" w:hint="default"/>
      </w:rPr>
    </w:lvl>
    <w:lvl w:ilvl="5" w:tplc="04090005">
      <w:start w:val="1"/>
      <w:numFmt w:val="bullet"/>
      <w:lvlText w:val=""/>
      <w:lvlJc w:val="left"/>
      <w:pPr>
        <w:ind w:left="4842" w:hanging="360"/>
      </w:pPr>
      <w:rPr>
        <w:rFonts w:ascii="Wingdings" w:hAnsi="Wingdings" w:hint="default"/>
      </w:rPr>
    </w:lvl>
    <w:lvl w:ilvl="6" w:tplc="04090001">
      <w:start w:val="1"/>
      <w:numFmt w:val="bullet"/>
      <w:lvlText w:val=""/>
      <w:lvlJc w:val="left"/>
      <w:pPr>
        <w:ind w:left="5562" w:hanging="360"/>
      </w:pPr>
      <w:rPr>
        <w:rFonts w:ascii="Symbol" w:hAnsi="Symbol" w:hint="default"/>
      </w:rPr>
    </w:lvl>
    <w:lvl w:ilvl="7" w:tplc="04090003">
      <w:start w:val="1"/>
      <w:numFmt w:val="bullet"/>
      <w:lvlText w:val="o"/>
      <w:lvlJc w:val="left"/>
      <w:pPr>
        <w:ind w:left="6282" w:hanging="360"/>
      </w:pPr>
      <w:rPr>
        <w:rFonts w:ascii="Courier New" w:hAnsi="Courier New" w:cs="Courier New" w:hint="default"/>
      </w:rPr>
    </w:lvl>
    <w:lvl w:ilvl="8" w:tplc="04090005">
      <w:start w:val="1"/>
      <w:numFmt w:val="bullet"/>
      <w:lvlText w:val=""/>
      <w:lvlJc w:val="left"/>
      <w:pPr>
        <w:ind w:left="7002" w:hanging="360"/>
      </w:pPr>
      <w:rPr>
        <w:rFonts w:ascii="Wingdings" w:hAnsi="Wingdings" w:hint="default"/>
      </w:rPr>
    </w:lvl>
  </w:abstractNum>
  <w:abstractNum w:abstractNumId="1">
    <w:nsid w:val="02813873"/>
    <w:multiLevelType w:val="hybridMultilevel"/>
    <w:tmpl w:val="E87C8E6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34354A2"/>
    <w:multiLevelType w:val="hybridMultilevel"/>
    <w:tmpl w:val="477E03C0"/>
    <w:lvl w:ilvl="0" w:tplc="CFDE03C6">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A1BD1"/>
    <w:multiLevelType w:val="hybridMultilevel"/>
    <w:tmpl w:val="B5BC9DF2"/>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4">
    <w:nsid w:val="11743515"/>
    <w:multiLevelType w:val="hybridMultilevel"/>
    <w:tmpl w:val="ECDAE9AC"/>
    <w:lvl w:ilvl="0" w:tplc="0409000F">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1236178"/>
    <w:multiLevelType w:val="hybridMultilevel"/>
    <w:tmpl w:val="F25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FF42AD"/>
    <w:multiLevelType w:val="hybridMultilevel"/>
    <w:tmpl w:val="1CBC9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15D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D16991"/>
    <w:multiLevelType w:val="hybridMultilevel"/>
    <w:tmpl w:val="5C04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A74BB"/>
    <w:multiLevelType w:val="hybridMultilevel"/>
    <w:tmpl w:val="354E6688"/>
    <w:lvl w:ilvl="0" w:tplc="CFDE03C6">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7CC552A"/>
    <w:multiLevelType w:val="hybridMultilevel"/>
    <w:tmpl w:val="A9328D36"/>
    <w:lvl w:ilvl="0" w:tplc="C700EE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5242"/>
    <w:multiLevelType w:val="hybridMultilevel"/>
    <w:tmpl w:val="21B20A2E"/>
    <w:lvl w:ilvl="0" w:tplc="81A4D0FE">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2B0A74"/>
    <w:multiLevelType w:val="hybridMultilevel"/>
    <w:tmpl w:val="6CBA7BB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E72D32"/>
    <w:multiLevelType w:val="hybridMultilevel"/>
    <w:tmpl w:val="3934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D07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FE2344E"/>
    <w:multiLevelType w:val="hybridMultilevel"/>
    <w:tmpl w:val="9B605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C639FA"/>
    <w:multiLevelType w:val="hybridMultilevel"/>
    <w:tmpl w:val="D542D19E"/>
    <w:lvl w:ilvl="0" w:tplc="0712B7C6">
      <w:start w:val="14"/>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0578CD"/>
    <w:multiLevelType w:val="hybridMultilevel"/>
    <w:tmpl w:val="1C38D5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B3B1570"/>
    <w:multiLevelType w:val="hybridMultilevel"/>
    <w:tmpl w:val="45182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CC21E32"/>
    <w:multiLevelType w:val="hybridMultilevel"/>
    <w:tmpl w:val="A162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3A292F"/>
    <w:multiLevelType w:val="hybridMultilevel"/>
    <w:tmpl w:val="7B421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B57E33"/>
    <w:multiLevelType w:val="singleLevel"/>
    <w:tmpl w:val="04090001"/>
    <w:lvl w:ilvl="0">
      <w:start w:val="1"/>
      <w:numFmt w:val="bullet"/>
      <w:lvlText w:val=""/>
      <w:lvlJc w:val="left"/>
      <w:pPr>
        <w:ind w:left="720" w:hanging="360"/>
      </w:pPr>
      <w:rPr>
        <w:rFonts w:ascii="Symbol" w:hAnsi="Symbol" w:hint="default"/>
      </w:rPr>
    </w:lvl>
  </w:abstractNum>
  <w:abstractNum w:abstractNumId="23">
    <w:nsid w:val="7F44398F"/>
    <w:multiLevelType w:val="hybridMultilevel"/>
    <w:tmpl w:val="5CD26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6239A0"/>
    <w:multiLevelType w:val="hybridMultilevel"/>
    <w:tmpl w:val="C30A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4"/>
  </w:num>
  <w:num w:numId="5">
    <w:abstractNumId w:val="13"/>
  </w:num>
  <w:num w:numId="6">
    <w:abstractNumId w:val="10"/>
  </w:num>
  <w:num w:numId="7">
    <w:abstractNumId w:val="8"/>
  </w:num>
  <w:num w:numId="8">
    <w:abstractNumId w:val="15"/>
  </w:num>
  <w:num w:numId="9">
    <w:abstractNumId w:val="6"/>
  </w:num>
  <w:num w:numId="10">
    <w:abstractNumId w:val="2"/>
  </w:num>
  <w:num w:numId="11">
    <w:abstractNumId w:val="23"/>
  </w:num>
  <w:num w:numId="12">
    <w:abstractNumId w:val="1"/>
  </w:num>
  <w:num w:numId="13">
    <w:abstractNumId w:val="11"/>
  </w:num>
  <w:num w:numId="14">
    <w:abstractNumId w:val="19"/>
  </w:num>
  <w:num w:numId="15">
    <w:abstractNumId w:val="20"/>
  </w:num>
  <w:num w:numId="16">
    <w:abstractNumId w:val="0"/>
  </w:num>
  <w:num w:numId="17">
    <w:abstractNumId w:val="0"/>
  </w:num>
  <w:num w:numId="18">
    <w:abstractNumId w:val="18"/>
  </w:num>
  <w:num w:numId="19">
    <w:abstractNumId w:val="16"/>
  </w:num>
  <w:num w:numId="20">
    <w:abstractNumId w:val="21"/>
  </w:num>
  <w:num w:numId="21">
    <w:abstractNumId w:val="9"/>
  </w:num>
  <w:num w:numId="22">
    <w:abstractNumId w:val="5"/>
  </w:num>
  <w:num w:numId="23">
    <w:abstractNumId w:val="14"/>
  </w:num>
  <w:num w:numId="24">
    <w:abstractNumId w:val="7"/>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D4"/>
    <w:rsid w:val="00054872"/>
    <w:rsid w:val="00071826"/>
    <w:rsid w:val="00095904"/>
    <w:rsid w:val="000D0B42"/>
    <w:rsid w:val="000F4193"/>
    <w:rsid w:val="00145A8B"/>
    <w:rsid w:val="00173CD4"/>
    <w:rsid w:val="00180776"/>
    <w:rsid w:val="001A126E"/>
    <w:rsid w:val="00200095"/>
    <w:rsid w:val="00206EFD"/>
    <w:rsid w:val="00247B21"/>
    <w:rsid w:val="002A7891"/>
    <w:rsid w:val="00335BBF"/>
    <w:rsid w:val="003E6ED6"/>
    <w:rsid w:val="0045300E"/>
    <w:rsid w:val="00463C5F"/>
    <w:rsid w:val="005230B0"/>
    <w:rsid w:val="005563AB"/>
    <w:rsid w:val="00571D7C"/>
    <w:rsid w:val="006501D4"/>
    <w:rsid w:val="006508ED"/>
    <w:rsid w:val="00692FEA"/>
    <w:rsid w:val="007339A9"/>
    <w:rsid w:val="00797432"/>
    <w:rsid w:val="007C6735"/>
    <w:rsid w:val="007F5668"/>
    <w:rsid w:val="00817A9F"/>
    <w:rsid w:val="00875BF0"/>
    <w:rsid w:val="008A7C43"/>
    <w:rsid w:val="008C209B"/>
    <w:rsid w:val="009A2312"/>
    <w:rsid w:val="00A37D34"/>
    <w:rsid w:val="00A61117"/>
    <w:rsid w:val="00A763CC"/>
    <w:rsid w:val="00A85ED2"/>
    <w:rsid w:val="00AB3409"/>
    <w:rsid w:val="00AE004A"/>
    <w:rsid w:val="00B11D01"/>
    <w:rsid w:val="00CA46E1"/>
    <w:rsid w:val="00CC5E31"/>
    <w:rsid w:val="00CD355A"/>
    <w:rsid w:val="00D170A7"/>
    <w:rsid w:val="00D7731D"/>
    <w:rsid w:val="00DA6DDF"/>
    <w:rsid w:val="00DD249A"/>
    <w:rsid w:val="00E52A68"/>
    <w:rsid w:val="00ED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01D4"/>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6501D4"/>
    <w:pPr>
      <w:keepNext/>
      <w:widowControl w:val="0"/>
      <w:tabs>
        <w:tab w:val="center" w:pos="4680"/>
      </w:tabs>
      <w:spacing w:after="0" w:line="240" w:lineRule="auto"/>
      <w:jc w:val="center"/>
      <w:outlineLvl w:val="1"/>
    </w:pPr>
    <w:rPr>
      <w:rFonts w:ascii="Arial" w:eastAsia="Times New Roman" w:hAnsi="Arial" w:cs="Times New Roman"/>
      <w:i/>
      <w:snapToGrid w:val="0"/>
      <w:szCs w:val="20"/>
    </w:rPr>
  </w:style>
  <w:style w:type="paragraph" w:styleId="Heading3">
    <w:name w:val="heading 3"/>
    <w:basedOn w:val="Normal"/>
    <w:next w:val="Normal"/>
    <w:link w:val="Heading3Char"/>
    <w:qFormat/>
    <w:rsid w:val="006501D4"/>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1D4"/>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501D4"/>
    <w:rPr>
      <w:rFonts w:ascii="Arial" w:eastAsia="Times New Roman" w:hAnsi="Arial" w:cs="Times New Roman"/>
      <w:i/>
      <w:snapToGrid w:val="0"/>
      <w:szCs w:val="20"/>
    </w:rPr>
  </w:style>
  <w:style w:type="character" w:customStyle="1" w:styleId="Heading3Char">
    <w:name w:val="Heading 3 Char"/>
    <w:basedOn w:val="DefaultParagraphFont"/>
    <w:link w:val="Heading3"/>
    <w:rsid w:val="006501D4"/>
    <w:rPr>
      <w:rFonts w:ascii="Times New Roman" w:eastAsia="Times New Roman" w:hAnsi="Times New Roman" w:cs="Times New Roman"/>
      <w:b/>
      <w:bCs/>
      <w:sz w:val="24"/>
      <w:szCs w:val="24"/>
    </w:rPr>
  </w:style>
  <w:style w:type="numbering" w:customStyle="1" w:styleId="NoList1">
    <w:name w:val="No List1"/>
    <w:next w:val="NoList"/>
    <w:semiHidden/>
    <w:rsid w:val="006501D4"/>
  </w:style>
  <w:style w:type="paragraph" w:customStyle="1" w:styleId="TxBrp5">
    <w:name w:val="TxBr_p5"/>
    <w:basedOn w:val="Normal"/>
    <w:rsid w:val="006501D4"/>
    <w:pPr>
      <w:widowControl w:val="0"/>
      <w:tabs>
        <w:tab w:val="left" w:pos="1411"/>
      </w:tabs>
      <w:spacing w:after="0" w:line="289" w:lineRule="atLeast"/>
      <w:jc w:val="both"/>
    </w:pPr>
    <w:rPr>
      <w:rFonts w:ascii="Times New Roman" w:eastAsia="Times New Roman" w:hAnsi="Times New Roman" w:cs="Times New Roman"/>
      <w:snapToGrid w:val="0"/>
      <w:sz w:val="24"/>
      <w:szCs w:val="20"/>
    </w:rPr>
  </w:style>
  <w:style w:type="paragraph" w:customStyle="1" w:styleId="TxBrt10">
    <w:name w:val="TxBr_t10"/>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6501D4"/>
    <w:pPr>
      <w:widowControl w:val="0"/>
      <w:tabs>
        <w:tab w:val="left" w:pos="901"/>
      </w:tabs>
      <w:spacing w:after="0" w:line="240" w:lineRule="atLeast"/>
      <w:ind w:left="211"/>
    </w:pPr>
    <w:rPr>
      <w:rFonts w:ascii="Times New Roman" w:eastAsia="Times New Roman" w:hAnsi="Times New Roman" w:cs="Times New Roman"/>
      <w:snapToGrid w:val="0"/>
      <w:sz w:val="24"/>
      <w:szCs w:val="20"/>
    </w:rPr>
  </w:style>
  <w:style w:type="paragraph" w:customStyle="1" w:styleId="TxBrp13">
    <w:name w:val="TxBr_p13"/>
    <w:basedOn w:val="Normal"/>
    <w:rsid w:val="006501D4"/>
    <w:pPr>
      <w:widowControl w:val="0"/>
      <w:tabs>
        <w:tab w:val="left" w:pos="901"/>
      </w:tabs>
      <w:spacing w:after="0" w:line="240" w:lineRule="atLeast"/>
      <w:ind w:left="211" w:hanging="901"/>
    </w:pPr>
    <w:rPr>
      <w:rFonts w:ascii="Times New Roman" w:eastAsia="Times New Roman" w:hAnsi="Times New Roman" w:cs="Times New Roman"/>
      <w:snapToGrid w:val="0"/>
      <w:sz w:val="24"/>
      <w:szCs w:val="20"/>
    </w:rPr>
  </w:style>
  <w:style w:type="paragraph" w:customStyle="1" w:styleId="TxBrt11">
    <w:name w:val="TxBr_t11"/>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6501D4"/>
    <w:pPr>
      <w:widowControl w:val="0"/>
      <w:tabs>
        <w:tab w:val="center" w:pos="4320"/>
        <w:tab w:val="right" w:pos="8640"/>
      </w:tabs>
      <w:spacing w:after="0" w:line="240" w:lineRule="auto"/>
    </w:pPr>
    <w:rPr>
      <w:rFonts w:ascii="r_ansi" w:eastAsia="Times New Roman" w:hAnsi="r_ansi" w:cs="Times New Roman"/>
      <w:snapToGrid w:val="0"/>
      <w:sz w:val="24"/>
      <w:szCs w:val="20"/>
    </w:rPr>
  </w:style>
  <w:style w:type="character" w:customStyle="1" w:styleId="FooterChar">
    <w:name w:val="Footer Char"/>
    <w:basedOn w:val="DefaultParagraphFont"/>
    <w:link w:val="Footer"/>
    <w:rsid w:val="006501D4"/>
    <w:rPr>
      <w:rFonts w:ascii="r_ansi" w:eastAsia="Times New Roman" w:hAnsi="r_ansi" w:cs="Times New Roman"/>
      <w:snapToGrid w:val="0"/>
      <w:sz w:val="24"/>
      <w:szCs w:val="20"/>
    </w:rPr>
  </w:style>
  <w:style w:type="paragraph" w:customStyle="1" w:styleId="xl24">
    <w:name w:val="xl24"/>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5">
    <w:name w:val="xl25"/>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6">
    <w:name w:val="xl26"/>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7">
    <w:name w:val="xl27"/>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28">
    <w:name w:val="xl2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29">
    <w:name w:val="xl29"/>
    <w:basedOn w:val="Normal"/>
    <w:rsid w:val="006501D4"/>
    <w:pPr>
      <w:pBdr>
        <w:top w:val="single" w:sz="4" w:space="0" w:color="auto"/>
        <w:lef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0">
    <w:name w:val="xl30"/>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1">
    <w:name w:val="xl31"/>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2">
    <w:name w:val="xl32"/>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3">
    <w:name w:val="xl33"/>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4">
    <w:name w:val="xl34"/>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5">
    <w:name w:val="xl35"/>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36">
    <w:name w:val="xl36"/>
    <w:basedOn w:val="Normal"/>
    <w:rsid w:val="006501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7">
    <w:name w:val="xl3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8">
    <w:name w:val="xl3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b/>
      <w:bCs/>
      <w:sz w:val="32"/>
      <w:szCs w:val="32"/>
    </w:rPr>
  </w:style>
  <w:style w:type="paragraph" w:customStyle="1" w:styleId="xl39">
    <w:name w:val="xl39"/>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0">
    <w:name w:val="xl40"/>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1">
    <w:name w:val="xl41"/>
    <w:basedOn w:val="Normal"/>
    <w:rsid w:val="006501D4"/>
    <w:pPr>
      <w:pBdr>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2">
    <w:name w:val="xl42"/>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3">
    <w:name w:val="xl43"/>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4">
    <w:name w:val="xl44"/>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5">
    <w:name w:val="xl45"/>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6">
    <w:name w:val="xl46"/>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Arial Unicode MS" w:hAnsi="Garamond" w:cs="Arial Unicode MS"/>
      <w:sz w:val="24"/>
      <w:szCs w:val="24"/>
    </w:rPr>
  </w:style>
  <w:style w:type="paragraph" w:customStyle="1" w:styleId="xl47">
    <w:name w:val="xl4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8">
    <w:name w:val="xl48"/>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Arial Unicode MS" w:hAnsi="Garamond" w:cs="Arial Unicode MS"/>
      <w:sz w:val="24"/>
      <w:szCs w:val="24"/>
    </w:rPr>
  </w:style>
  <w:style w:type="paragraph" w:customStyle="1" w:styleId="xl49">
    <w:name w:val="xl49"/>
    <w:basedOn w:val="Normal"/>
    <w:rsid w:val="006501D4"/>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0">
    <w:name w:val="xl50"/>
    <w:basedOn w:val="Normal"/>
    <w:rsid w:val="006501D4"/>
    <w:pPr>
      <w:pBdr>
        <w:top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1">
    <w:name w:val="xl51"/>
    <w:basedOn w:val="Normal"/>
    <w:rsid w:val="006501D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2">
    <w:name w:val="xl52"/>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3">
    <w:name w:val="xl53"/>
    <w:basedOn w:val="Normal"/>
    <w:rsid w:val="006501D4"/>
    <w:pPr>
      <w:pBdr>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4">
    <w:name w:val="xl54"/>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styleId="BalloonText">
    <w:name w:val="Balloon Text"/>
    <w:basedOn w:val="Normal"/>
    <w:link w:val="BalloonTextChar"/>
    <w:semiHidden/>
    <w:rsid w:val="006501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1D4"/>
    <w:rPr>
      <w:rFonts w:ascii="Tahoma" w:eastAsia="Times New Roman" w:hAnsi="Tahoma" w:cs="Tahoma"/>
      <w:sz w:val="16"/>
      <w:szCs w:val="16"/>
    </w:rPr>
  </w:style>
  <w:style w:type="paragraph" w:styleId="ListParagraph">
    <w:name w:val="List Paragraph"/>
    <w:basedOn w:val="Normal"/>
    <w:uiPriority w:val="34"/>
    <w:qFormat/>
    <w:rsid w:val="006501D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6501D4"/>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01D4"/>
    <w:rPr>
      <w:rFonts w:ascii="Times New Roman" w:eastAsia="Times New Roman" w:hAnsi="Times New Roman" w:cs="Times New Roman"/>
      <w:sz w:val="20"/>
      <w:szCs w:val="20"/>
    </w:rPr>
  </w:style>
  <w:style w:type="paragraph" w:styleId="BodyText">
    <w:name w:val="Body Text"/>
    <w:basedOn w:val="Normal"/>
    <w:link w:val="BodyTextChar"/>
    <w:rsid w:val="006501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01D4"/>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650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01D4"/>
    <w:rPr>
      <w:color w:val="0000FF"/>
      <w:u w:val="single"/>
    </w:rPr>
  </w:style>
  <w:style w:type="character" w:styleId="CommentReference">
    <w:name w:val="annotation reference"/>
    <w:basedOn w:val="DefaultParagraphFont"/>
    <w:uiPriority w:val="99"/>
    <w:semiHidden/>
    <w:unhideWhenUsed/>
    <w:rsid w:val="00CD355A"/>
    <w:rPr>
      <w:sz w:val="16"/>
      <w:szCs w:val="16"/>
    </w:rPr>
  </w:style>
  <w:style w:type="paragraph" w:styleId="CommentText">
    <w:name w:val="annotation text"/>
    <w:basedOn w:val="Normal"/>
    <w:link w:val="CommentTextChar"/>
    <w:uiPriority w:val="99"/>
    <w:semiHidden/>
    <w:unhideWhenUsed/>
    <w:rsid w:val="00CD355A"/>
    <w:pPr>
      <w:spacing w:line="240" w:lineRule="auto"/>
    </w:pPr>
    <w:rPr>
      <w:sz w:val="20"/>
      <w:szCs w:val="20"/>
    </w:rPr>
  </w:style>
  <w:style w:type="character" w:customStyle="1" w:styleId="CommentTextChar">
    <w:name w:val="Comment Text Char"/>
    <w:basedOn w:val="DefaultParagraphFont"/>
    <w:link w:val="CommentText"/>
    <w:uiPriority w:val="99"/>
    <w:semiHidden/>
    <w:rsid w:val="00CD355A"/>
    <w:rPr>
      <w:sz w:val="20"/>
      <w:szCs w:val="20"/>
    </w:rPr>
  </w:style>
  <w:style w:type="paragraph" w:styleId="CommentSubject">
    <w:name w:val="annotation subject"/>
    <w:basedOn w:val="CommentText"/>
    <w:next w:val="CommentText"/>
    <w:link w:val="CommentSubjectChar"/>
    <w:uiPriority w:val="99"/>
    <w:semiHidden/>
    <w:unhideWhenUsed/>
    <w:rsid w:val="00CD355A"/>
    <w:rPr>
      <w:b/>
      <w:bCs/>
    </w:rPr>
  </w:style>
  <w:style w:type="character" w:customStyle="1" w:styleId="CommentSubjectChar">
    <w:name w:val="Comment Subject Char"/>
    <w:basedOn w:val="CommentTextChar"/>
    <w:link w:val="CommentSubject"/>
    <w:uiPriority w:val="99"/>
    <w:semiHidden/>
    <w:rsid w:val="00CD35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501D4"/>
    <w:pPr>
      <w:keepNext/>
      <w:widowControl w:val="0"/>
      <w:tabs>
        <w:tab w:val="center" w:pos="46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qFormat/>
    <w:rsid w:val="006501D4"/>
    <w:pPr>
      <w:keepNext/>
      <w:widowControl w:val="0"/>
      <w:tabs>
        <w:tab w:val="center" w:pos="4680"/>
      </w:tabs>
      <w:spacing w:after="0" w:line="240" w:lineRule="auto"/>
      <w:jc w:val="center"/>
      <w:outlineLvl w:val="1"/>
    </w:pPr>
    <w:rPr>
      <w:rFonts w:ascii="Arial" w:eastAsia="Times New Roman" w:hAnsi="Arial" w:cs="Times New Roman"/>
      <w:i/>
      <w:snapToGrid w:val="0"/>
      <w:szCs w:val="20"/>
    </w:rPr>
  </w:style>
  <w:style w:type="paragraph" w:styleId="Heading3">
    <w:name w:val="heading 3"/>
    <w:basedOn w:val="Normal"/>
    <w:next w:val="Normal"/>
    <w:link w:val="Heading3Char"/>
    <w:qFormat/>
    <w:rsid w:val="006501D4"/>
    <w:pPr>
      <w:keepNext/>
      <w:spacing w:after="0" w:line="240" w:lineRule="auto"/>
      <w:ind w:left="1440" w:hanging="144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1D4"/>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501D4"/>
    <w:rPr>
      <w:rFonts w:ascii="Arial" w:eastAsia="Times New Roman" w:hAnsi="Arial" w:cs="Times New Roman"/>
      <w:i/>
      <w:snapToGrid w:val="0"/>
      <w:szCs w:val="20"/>
    </w:rPr>
  </w:style>
  <w:style w:type="character" w:customStyle="1" w:styleId="Heading3Char">
    <w:name w:val="Heading 3 Char"/>
    <w:basedOn w:val="DefaultParagraphFont"/>
    <w:link w:val="Heading3"/>
    <w:rsid w:val="006501D4"/>
    <w:rPr>
      <w:rFonts w:ascii="Times New Roman" w:eastAsia="Times New Roman" w:hAnsi="Times New Roman" w:cs="Times New Roman"/>
      <w:b/>
      <w:bCs/>
      <w:sz w:val="24"/>
      <w:szCs w:val="24"/>
    </w:rPr>
  </w:style>
  <w:style w:type="numbering" w:customStyle="1" w:styleId="NoList1">
    <w:name w:val="No List1"/>
    <w:next w:val="NoList"/>
    <w:semiHidden/>
    <w:rsid w:val="006501D4"/>
  </w:style>
  <w:style w:type="paragraph" w:customStyle="1" w:styleId="TxBrp5">
    <w:name w:val="TxBr_p5"/>
    <w:basedOn w:val="Normal"/>
    <w:rsid w:val="006501D4"/>
    <w:pPr>
      <w:widowControl w:val="0"/>
      <w:tabs>
        <w:tab w:val="left" w:pos="1411"/>
      </w:tabs>
      <w:spacing w:after="0" w:line="289" w:lineRule="atLeast"/>
      <w:jc w:val="both"/>
    </w:pPr>
    <w:rPr>
      <w:rFonts w:ascii="Times New Roman" w:eastAsia="Times New Roman" w:hAnsi="Times New Roman" w:cs="Times New Roman"/>
      <w:snapToGrid w:val="0"/>
      <w:sz w:val="24"/>
      <w:szCs w:val="20"/>
    </w:rPr>
  </w:style>
  <w:style w:type="paragraph" w:customStyle="1" w:styleId="TxBrt10">
    <w:name w:val="TxBr_t10"/>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6501D4"/>
    <w:pPr>
      <w:widowControl w:val="0"/>
      <w:tabs>
        <w:tab w:val="left" w:pos="901"/>
      </w:tabs>
      <w:spacing w:after="0" w:line="240" w:lineRule="atLeast"/>
      <w:ind w:left="211"/>
    </w:pPr>
    <w:rPr>
      <w:rFonts w:ascii="Times New Roman" w:eastAsia="Times New Roman" w:hAnsi="Times New Roman" w:cs="Times New Roman"/>
      <w:snapToGrid w:val="0"/>
      <w:sz w:val="24"/>
      <w:szCs w:val="20"/>
    </w:rPr>
  </w:style>
  <w:style w:type="paragraph" w:customStyle="1" w:styleId="TxBrp13">
    <w:name w:val="TxBr_p13"/>
    <w:basedOn w:val="Normal"/>
    <w:rsid w:val="006501D4"/>
    <w:pPr>
      <w:widowControl w:val="0"/>
      <w:tabs>
        <w:tab w:val="left" w:pos="901"/>
      </w:tabs>
      <w:spacing w:after="0" w:line="240" w:lineRule="atLeast"/>
      <w:ind w:left="211" w:hanging="901"/>
    </w:pPr>
    <w:rPr>
      <w:rFonts w:ascii="Times New Roman" w:eastAsia="Times New Roman" w:hAnsi="Times New Roman" w:cs="Times New Roman"/>
      <w:snapToGrid w:val="0"/>
      <w:sz w:val="24"/>
      <w:szCs w:val="20"/>
    </w:rPr>
  </w:style>
  <w:style w:type="paragraph" w:customStyle="1" w:styleId="TxBrt11">
    <w:name w:val="TxBr_t11"/>
    <w:basedOn w:val="Normal"/>
    <w:rsid w:val="006501D4"/>
    <w:pPr>
      <w:widowControl w:val="0"/>
      <w:spacing w:after="0" w:line="240" w:lineRule="atLeast"/>
    </w:pPr>
    <w:rPr>
      <w:rFonts w:ascii="Times New Roman" w:eastAsia="Times New Roman" w:hAnsi="Times New Roman" w:cs="Times New Roman"/>
      <w:snapToGrid w:val="0"/>
      <w:sz w:val="24"/>
      <w:szCs w:val="20"/>
    </w:rPr>
  </w:style>
  <w:style w:type="paragraph" w:styleId="Footer">
    <w:name w:val="footer"/>
    <w:basedOn w:val="Normal"/>
    <w:link w:val="FooterChar"/>
    <w:rsid w:val="006501D4"/>
    <w:pPr>
      <w:widowControl w:val="0"/>
      <w:tabs>
        <w:tab w:val="center" w:pos="4320"/>
        <w:tab w:val="right" w:pos="8640"/>
      </w:tabs>
      <w:spacing w:after="0" w:line="240" w:lineRule="auto"/>
    </w:pPr>
    <w:rPr>
      <w:rFonts w:ascii="r_ansi" w:eastAsia="Times New Roman" w:hAnsi="r_ansi" w:cs="Times New Roman"/>
      <w:snapToGrid w:val="0"/>
      <w:sz w:val="24"/>
      <w:szCs w:val="20"/>
    </w:rPr>
  </w:style>
  <w:style w:type="character" w:customStyle="1" w:styleId="FooterChar">
    <w:name w:val="Footer Char"/>
    <w:basedOn w:val="DefaultParagraphFont"/>
    <w:link w:val="Footer"/>
    <w:rsid w:val="006501D4"/>
    <w:rPr>
      <w:rFonts w:ascii="r_ansi" w:eastAsia="Times New Roman" w:hAnsi="r_ansi" w:cs="Times New Roman"/>
      <w:snapToGrid w:val="0"/>
      <w:sz w:val="24"/>
      <w:szCs w:val="20"/>
    </w:rPr>
  </w:style>
  <w:style w:type="paragraph" w:customStyle="1" w:styleId="xl24">
    <w:name w:val="xl24"/>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5">
    <w:name w:val="xl25"/>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6">
    <w:name w:val="xl26"/>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27">
    <w:name w:val="xl27"/>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28">
    <w:name w:val="xl2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29">
    <w:name w:val="xl29"/>
    <w:basedOn w:val="Normal"/>
    <w:rsid w:val="006501D4"/>
    <w:pPr>
      <w:pBdr>
        <w:top w:val="single" w:sz="4" w:space="0" w:color="auto"/>
        <w:lef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0">
    <w:name w:val="xl30"/>
    <w:basedOn w:val="Normal"/>
    <w:rsid w:val="006501D4"/>
    <w:pPr>
      <w:pBdr>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1">
    <w:name w:val="xl31"/>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2">
    <w:name w:val="xl32"/>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33">
    <w:name w:val="xl33"/>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4">
    <w:name w:val="xl34"/>
    <w:basedOn w:val="Normal"/>
    <w:rsid w:val="006501D4"/>
    <w:pPr>
      <w:pBdr>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5">
    <w:name w:val="xl35"/>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Garamond" w:eastAsia="Arial Unicode MS" w:hAnsi="Garamond" w:cs="Arial Unicode MS"/>
      <w:b/>
      <w:bCs/>
      <w:sz w:val="24"/>
      <w:szCs w:val="24"/>
    </w:rPr>
  </w:style>
  <w:style w:type="paragraph" w:customStyle="1" w:styleId="xl36">
    <w:name w:val="xl36"/>
    <w:basedOn w:val="Normal"/>
    <w:rsid w:val="006501D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7">
    <w:name w:val="xl3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38">
    <w:name w:val="xl38"/>
    <w:basedOn w:val="Normal"/>
    <w:rsid w:val="006501D4"/>
    <w:pPr>
      <w:shd w:val="clear" w:color="auto" w:fill="C0C0C0"/>
      <w:spacing w:before="100" w:beforeAutospacing="1" w:after="100" w:afterAutospacing="1" w:line="240" w:lineRule="auto"/>
      <w:jc w:val="center"/>
    </w:pPr>
    <w:rPr>
      <w:rFonts w:ascii="Garamond" w:eastAsia="Arial Unicode MS" w:hAnsi="Garamond" w:cs="Arial Unicode MS"/>
      <w:b/>
      <w:bCs/>
      <w:sz w:val="32"/>
      <w:szCs w:val="32"/>
    </w:rPr>
  </w:style>
  <w:style w:type="paragraph" w:customStyle="1" w:styleId="xl39">
    <w:name w:val="xl39"/>
    <w:basedOn w:val="Normal"/>
    <w:rsid w:val="006501D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0">
    <w:name w:val="xl40"/>
    <w:basedOn w:val="Normal"/>
    <w:rsid w:val="006501D4"/>
    <w:pPr>
      <w:pBdr>
        <w:bottom w:val="single" w:sz="4" w:space="0" w:color="auto"/>
        <w:right w:val="single" w:sz="4" w:space="0" w:color="auto"/>
      </w:pBdr>
      <w:shd w:val="clear" w:color="auto" w:fill="FFFFFF"/>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41">
    <w:name w:val="xl41"/>
    <w:basedOn w:val="Normal"/>
    <w:rsid w:val="006501D4"/>
    <w:pPr>
      <w:pBdr>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2">
    <w:name w:val="xl42"/>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3">
    <w:name w:val="xl43"/>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4">
    <w:name w:val="xl44"/>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aramond" w:eastAsia="Arial Unicode MS" w:hAnsi="Garamond" w:cs="Arial Unicode MS"/>
      <w:sz w:val="24"/>
      <w:szCs w:val="24"/>
    </w:rPr>
  </w:style>
  <w:style w:type="paragraph" w:customStyle="1" w:styleId="xl45">
    <w:name w:val="xl45"/>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6">
    <w:name w:val="xl46"/>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Arial Unicode MS" w:hAnsi="Garamond" w:cs="Arial Unicode MS"/>
      <w:sz w:val="24"/>
      <w:szCs w:val="24"/>
    </w:rPr>
  </w:style>
  <w:style w:type="paragraph" w:customStyle="1" w:styleId="xl47">
    <w:name w:val="xl47"/>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48">
    <w:name w:val="xl48"/>
    <w:basedOn w:val="Normal"/>
    <w:rsid w:val="006501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Arial Unicode MS" w:hAnsi="Garamond" w:cs="Arial Unicode MS"/>
      <w:sz w:val="24"/>
      <w:szCs w:val="24"/>
    </w:rPr>
  </w:style>
  <w:style w:type="paragraph" w:customStyle="1" w:styleId="xl49">
    <w:name w:val="xl49"/>
    <w:basedOn w:val="Normal"/>
    <w:rsid w:val="006501D4"/>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0">
    <w:name w:val="xl50"/>
    <w:basedOn w:val="Normal"/>
    <w:rsid w:val="006501D4"/>
    <w:pPr>
      <w:pBdr>
        <w:top w:val="single" w:sz="4" w:space="0" w:color="auto"/>
        <w:bottom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1">
    <w:name w:val="xl51"/>
    <w:basedOn w:val="Normal"/>
    <w:rsid w:val="006501D4"/>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b/>
      <w:bCs/>
      <w:sz w:val="24"/>
      <w:szCs w:val="24"/>
    </w:rPr>
  </w:style>
  <w:style w:type="paragraph" w:customStyle="1" w:styleId="xl52">
    <w:name w:val="xl52"/>
    <w:basedOn w:val="Normal"/>
    <w:rsid w:val="006501D4"/>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3">
    <w:name w:val="xl53"/>
    <w:basedOn w:val="Normal"/>
    <w:rsid w:val="006501D4"/>
    <w:pPr>
      <w:pBdr>
        <w:left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customStyle="1" w:styleId="xl54">
    <w:name w:val="xl54"/>
    <w:basedOn w:val="Normal"/>
    <w:rsid w:val="006501D4"/>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Garamond" w:eastAsia="Arial Unicode MS" w:hAnsi="Garamond" w:cs="Arial Unicode MS"/>
      <w:sz w:val="24"/>
      <w:szCs w:val="24"/>
    </w:rPr>
  </w:style>
  <w:style w:type="paragraph" w:styleId="BalloonText">
    <w:name w:val="Balloon Text"/>
    <w:basedOn w:val="Normal"/>
    <w:link w:val="BalloonTextChar"/>
    <w:semiHidden/>
    <w:rsid w:val="006501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501D4"/>
    <w:rPr>
      <w:rFonts w:ascii="Tahoma" w:eastAsia="Times New Roman" w:hAnsi="Tahoma" w:cs="Tahoma"/>
      <w:sz w:val="16"/>
      <w:szCs w:val="16"/>
    </w:rPr>
  </w:style>
  <w:style w:type="paragraph" w:styleId="ListParagraph">
    <w:name w:val="List Paragraph"/>
    <w:basedOn w:val="Normal"/>
    <w:uiPriority w:val="34"/>
    <w:qFormat/>
    <w:rsid w:val="006501D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6501D4"/>
    <w:pPr>
      <w:spacing w:after="0" w:line="240" w:lineRule="auto"/>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501D4"/>
    <w:rPr>
      <w:rFonts w:ascii="Times New Roman" w:eastAsia="Times New Roman" w:hAnsi="Times New Roman" w:cs="Times New Roman"/>
      <w:sz w:val="20"/>
      <w:szCs w:val="20"/>
    </w:rPr>
  </w:style>
  <w:style w:type="paragraph" w:styleId="BodyText">
    <w:name w:val="Body Text"/>
    <w:basedOn w:val="Normal"/>
    <w:link w:val="BodyTextChar"/>
    <w:rsid w:val="006501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501D4"/>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6501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01D4"/>
    <w:rPr>
      <w:color w:val="0000FF"/>
      <w:u w:val="single"/>
    </w:rPr>
  </w:style>
  <w:style w:type="character" w:styleId="CommentReference">
    <w:name w:val="annotation reference"/>
    <w:basedOn w:val="DefaultParagraphFont"/>
    <w:uiPriority w:val="99"/>
    <w:semiHidden/>
    <w:unhideWhenUsed/>
    <w:rsid w:val="00CD355A"/>
    <w:rPr>
      <w:sz w:val="16"/>
      <w:szCs w:val="16"/>
    </w:rPr>
  </w:style>
  <w:style w:type="paragraph" w:styleId="CommentText">
    <w:name w:val="annotation text"/>
    <w:basedOn w:val="Normal"/>
    <w:link w:val="CommentTextChar"/>
    <w:uiPriority w:val="99"/>
    <w:semiHidden/>
    <w:unhideWhenUsed/>
    <w:rsid w:val="00CD355A"/>
    <w:pPr>
      <w:spacing w:line="240" w:lineRule="auto"/>
    </w:pPr>
    <w:rPr>
      <w:sz w:val="20"/>
      <w:szCs w:val="20"/>
    </w:rPr>
  </w:style>
  <w:style w:type="character" w:customStyle="1" w:styleId="CommentTextChar">
    <w:name w:val="Comment Text Char"/>
    <w:basedOn w:val="DefaultParagraphFont"/>
    <w:link w:val="CommentText"/>
    <w:uiPriority w:val="99"/>
    <w:semiHidden/>
    <w:rsid w:val="00CD355A"/>
    <w:rPr>
      <w:sz w:val="20"/>
      <w:szCs w:val="20"/>
    </w:rPr>
  </w:style>
  <w:style w:type="paragraph" w:styleId="CommentSubject">
    <w:name w:val="annotation subject"/>
    <w:basedOn w:val="CommentText"/>
    <w:next w:val="CommentText"/>
    <w:link w:val="CommentSubjectChar"/>
    <w:uiPriority w:val="99"/>
    <w:semiHidden/>
    <w:unhideWhenUsed/>
    <w:rsid w:val="00CD355A"/>
    <w:rPr>
      <w:b/>
      <w:bCs/>
    </w:rPr>
  </w:style>
  <w:style w:type="character" w:customStyle="1" w:styleId="CommentSubjectChar">
    <w:name w:val="Comment Subject Char"/>
    <w:basedOn w:val="CommentTextChar"/>
    <w:link w:val="CommentSubject"/>
    <w:uiPriority w:val="99"/>
    <w:semiHidden/>
    <w:rsid w:val="00CD3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FinancialAssistance@montefiore.org" TargetMode="External"/><Relationship Id="rId13" Type="http://schemas.openxmlformats.org/officeDocument/2006/relationships/hyperlink" Target="http://www.montefiorehealthsystem.org/body.cfm?id=69" TargetMode="External"/><Relationship Id="rId3" Type="http://schemas.microsoft.com/office/2007/relationships/stylesWithEffects" Target="stylesWithEffects.xml"/><Relationship Id="rId7" Type="http://schemas.openxmlformats.org/officeDocument/2006/relationships/hyperlink" Target="mailto:MVFinancialAssistance@montefiore.org" TargetMode="External"/><Relationship Id="rId12" Type="http://schemas.openxmlformats.org/officeDocument/2006/relationships/hyperlink" Target="mailto:MVFinancialAssistance@montefior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ntefiorehealthsystem.org/body.cfm?id=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tefiorehealthsystem.org/body.cfm?id=69" TargetMode="External"/><Relationship Id="rId4" Type="http://schemas.openxmlformats.org/officeDocument/2006/relationships/settings" Target="settings.xml"/><Relationship Id="rId9" Type="http://schemas.openxmlformats.org/officeDocument/2006/relationships/hyperlink" Target="http://www.montefiore.org/financial-aid-policy" TargetMode="External"/><Relationship Id="rId14" Type="http://schemas.openxmlformats.org/officeDocument/2006/relationships/hyperlink" Target="http://www.montefiorehealthsystem.org/body.cfm?id=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4491</Words>
  <Characters>25603</Characters>
  <Application>Microsoft Office Word</Application>
  <DocSecurity>0</DocSecurity>
  <Lines>213</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Montefiore</Company>
  <LinksUpToDate>false</LinksUpToDate>
  <CharactersWithSpaces>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Martinez</dc:creator>
  <cp:lastModifiedBy>Robin TenEyck</cp:lastModifiedBy>
  <cp:revision>3</cp:revision>
  <cp:lastPrinted>2016-02-03T17:17:00Z</cp:lastPrinted>
  <dcterms:created xsi:type="dcterms:W3CDTF">2018-05-15T20:22:00Z</dcterms:created>
  <dcterms:modified xsi:type="dcterms:W3CDTF">2018-05-15T20:33:00Z</dcterms:modified>
</cp:coreProperties>
</file>